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rPr>
      </w:pPr>
    </w:p>
    <w:tbl>
      <w:tblPr>
        <w:tblStyle w:val="10"/>
        <w:tblW w:w="51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2"/>
        <w:gridCol w:w="3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60" w:type="dxa"/>
            <w:vAlign w:val="center"/>
          </w:tcPr>
          <w:p>
            <w:pPr>
              <w:rPr>
                <w:rFonts w:ascii="微软雅黑" w:hAnsi="微软雅黑" w:eastAsia="微软雅黑"/>
                <w:sz w:val="28"/>
                <w:szCs w:val="28"/>
              </w:rPr>
            </w:pPr>
            <w:r>
              <w:rPr>
                <w:rFonts w:hint="eastAsia" w:ascii="微软雅黑" w:hAnsi="微软雅黑" w:eastAsia="微软雅黑"/>
                <w:sz w:val="28"/>
                <w:szCs w:val="28"/>
              </w:rPr>
              <w:t>合同编号：</w:t>
            </w:r>
          </w:p>
        </w:tc>
        <w:tc>
          <w:tcPr>
            <w:tcW w:w="3260" w:type="dxa"/>
            <w:tcBorders>
              <w:bottom w:val="single" w:color="auto" w:sz="4" w:space="0"/>
            </w:tcBorders>
            <w:vAlign w:val="center"/>
          </w:tcPr>
          <w:p>
            <w:pPr>
              <w:jc w:val="center"/>
              <w:rPr>
                <w:rFonts w:hint="default" w:ascii="微软雅黑" w:hAnsi="微软雅黑" w:eastAsia="微软雅黑"/>
                <w:sz w:val="28"/>
                <w:szCs w:val="28"/>
                <w:lang w:val="en-US" w:eastAsia="zh-CN"/>
              </w:rPr>
            </w:pPr>
            <w:r>
              <w:rPr>
                <w:rFonts w:hint="eastAsia" w:ascii="微软雅黑" w:hAnsi="微软雅黑" w:eastAsia="微软雅黑"/>
                <w:sz w:val="28"/>
                <w:szCs w:val="28"/>
              </w:rPr>
              <w:t>HC[202</w:t>
            </w:r>
            <w:r>
              <w:rPr>
                <w:rFonts w:hint="eastAsia" w:ascii="微软雅黑" w:hAnsi="微软雅黑" w:eastAsia="微软雅黑"/>
                <w:sz w:val="28"/>
                <w:szCs w:val="28"/>
                <w:lang w:val="en-US" w:eastAsia="zh-CN"/>
              </w:rPr>
              <w:t>4</w:t>
            </w:r>
            <w:r>
              <w:rPr>
                <w:rFonts w:hint="eastAsia" w:ascii="微软雅黑" w:hAnsi="微软雅黑" w:eastAsia="微软雅黑"/>
                <w:sz w:val="28"/>
                <w:szCs w:val="28"/>
              </w:rPr>
              <w:t>]FEZX-0</w:t>
            </w:r>
            <w:r>
              <w:rPr>
                <w:rFonts w:hint="eastAsia" w:ascii="微软雅黑" w:hAnsi="微软雅黑" w:eastAsia="微软雅黑"/>
                <w:sz w:val="28"/>
                <w:szCs w:val="28"/>
                <w:lang w:val="en-US" w:eastAsia="zh-CN"/>
              </w:rPr>
              <w:t>01</w:t>
            </w:r>
          </w:p>
        </w:tc>
      </w:tr>
    </w:tbl>
    <w:p>
      <w:pPr>
        <w:rPr>
          <w:rFonts w:ascii="微软雅黑" w:hAnsi="微软雅黑" w:eastAsia="微软雅黑"/>
        </w:rPr>
      </w:pPr>
    </w:p>
    <w:p>
      <w:pPr>
        <w:rPr>
          <w:rFonts w:ascii="微软雅黑" w:hAnsi="微软雅黑" w:eastAsia="微软雅黑"/>
        </w:rPr>
      </w:pPr>
    </w:p>
    <w:p>
      <w:pPr>
        <w:pStyle w:val="14"/>
      </w:pPr>
    </w:p>
    <w:p>
      <w:pPr>
        <w:rPr>
          <w:rFonts w:ascii="微软雅黑" w:hAnsi="微软雅黑" w:eastAsia="微软雅黑"/>
        </w:rPr>
      </w:pPr>
    </w:p>
    <w:p>
      <w:pPr>
        <w:widowControl/>
        <w:adjustRightInd w:val="0"/>
        <w:jc w:val="center"/>
        <w:rPr>
          <w:rFonts w:hint="eastAsia" w:ascii="微软雅黑" w:hAnsi="微软雅黑" w:eastAsia="微软雅黑"/>
          <w:b/>
          <w:bCs/>
          <w:w w:val="90"/>
          <w:sz w:val="72"/>
        </w:rPr>
      </w:pPr>
      <w:r>
        <w:rPr>
          <w:rFonts w:hint="eastAsia" w:ascii="微软雅黑" w:hAnsi="微软雅黑" w:eastAsia="微软雅黑"/>
          <w:b/>
          <w:bCs/>
          <w:w w:val="90"/>
          <w:sz w:val="72"/>
          <w:lang w:val="en-US" w:eastAsia="zh-CN"/>
        </w:rPr>
        <w:t xml:space="preserve"> </w:t>
      </w:r>
      <w:r>
        <w:rPr>
          <w:rFonts w:hint="eastAsia" w:ascii="微软雅黑" w:hAnsi="微软雅黑" w:eastAsia="微软雅黑"/>
          <w:b/>
          <w:bCs/>
          <w:w w:val="90"/>
          <w:sz w:val="72"/>
        </w:rPr>
        <w:t>直燃型冷热水机组</w:t>
      </w:r>
    </w:p>
    <w:p>
      <w:pPr>
        <w:widowControl/>
        <w:adjustRightInd w:val="0"/>
        <w:ind w:firstLine="2593" w:firstLineChars="400"/>
        <w:jc w:val="both"/>
        <w:rPr>
          <w:rFonts w:ascii="微软雅黑" w:hAnsi="微软雅黑" w:eastAsia="微软雅黑"/>
          <w:b/>
          <w:bCs/>
          <w:w w:val="90"/>
          <w:sz w:val="72"/>
        </w:rPr>
      </w:pPr>
      <w:r>
        <w:rPr>
          <w:rFonts w:hint="eastAsia" w:ascii="微软雅黑" w:hAnsi="微软雅黑" w:eastAsia="微软雅黑"/>
          <w:b/>
          <w:bCs/>
          <w:w w:val="90"/>
          <w:sz w:val="72"/>
        </w:rPr>
        <w:t>维护保养服务合同</w:t>
      </w:r>
    </w:p>
    <w:p>
      <w:pPr>
        <w:rPr>
          <w:rFonts w:ascii="微软雅黑" w:hAnsi="微软雅黑" w:eastAsia="微软雅黑"/>
        </w:rPr>
      </w:pPr>
    </w:p>
    <w:tbl>
      <w:tblPr>
        <w:tblStyle w:val="10"/>
        <w:tblW w:w="73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8"/>
        <w:gridCol w:w="2608"/>
        <w:gridCol w:w="476"/>
        <w:gridCol w:w="2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48" w:type="dxa"/>
            <w:shd w:val="clear" w:color="auto" w:fill="auto"/>
            <w:vAlign w:val="center"/>
          </w:tcPr>
          <w:p>
            <w:pPr>
              <w:rPr>
                <w:rFonts w:ascii="微软雅黑" w:hAnsi="微软雅黑" w:eastAsia="微软雅黑"/>
                <w:sz w:val="24"/>
                <w:szCs w:val="24"/>
              </w:rPr>
            </w:pPr>
            <w:r>
              <w:rPr>
                <w:rFonts w:hint="eastAsia" w:ascii="微软雅黑" w:hAnsi="微软雅黑" w:eastAsia="微软雅黑"/>
                <w:sz w:val="24"/>
                <w:szCs w:val="24"/>
              </w:rPr>
              <w:t>有效期：</w:t>
            </w:r>
          </w:p>
        </w:tc>
        <w:tc>
          <w:tcPr>
            <w:tcW w:w="2608" w:type="dxa"/>
            <w:tcBorders>
              <w:bottom w:val="single" w:color="auto" w:sz="4" w:space="0"/>
            </w:tcBorders>
            <w:shd w:val="clear" w:color="auto" w:fill="auto"/>
            <w:vAlign w:val="center"/>
          </w:tcPr>
          <w:p>
            <w:pPr>
              <w:jc w:val="center"/>
              <w:rPr>
                <w:rFonts w:ascii="微软雅黑" w:hAnsi="微软雅黑" w:eastAsia="微软雅黑"/>
                <w:sz w:val="24"/>
                <w:szCs w:val="24"/>
                <w:highlight w:val="none"/>
              </w:rPr>
            </w:pPr>
            <w:r>
              <w:rPr>
                <w:rFonts w:hint="eastAsia" w:ascii="微软雅黑" w:hAnsi="微软雅黑" w:eastAsia="微软雅黑"/>
                <w:sz w:val="24"/>
                <w:szCs w:val="24"/>
                <w:highlight w:val="none"/>
              </w:rPr>
              <w:t>202</w:t>
            </w:r>
            <w:r>
              <w:rPr>
                <w:rFonts w:hint="eastAsia" w:ascii="微软雅黑" w:hAnsi="微软雅黑" w:eastAsia="微软雅黑"/>
                <w:sz w:val="24"/>
                <w:szCs w:val="24"/>
                <w:highlight w:val="none"/>
                <w:lang w:val="en-US" w:eastAsia="zh-CN"/>
              </w:rPr>
              <w:t>4</w:t>
            </w:r>
            <w:r>
              <w:rPr>
                <w:rFonts w:hint="eastAsia" w:ascii="微软雅黑" w:hAnsi="微软雅黑" w:eastAsia="微软雅黑"/>
                <w:sz w:val="24"/>
                <w:szCs w:val="24"/>
                <w:highlight w:val="none"/>
              </w:rPr>
              <w:t>年1月</w:t>
            </w:r>
            <w:r>
              <w:rPr>
                <w:rFonts w:hint="eastAsia" w:ascii="微软雅黑" w:hAnsi="微软雅黑" w:eastAsia="微软雅黑"/>
                <w:sz w:val="24"/>
                <w:szCs w:val="24"/>
                <w:highlight w:val="none"/>
                <w:lang w:val="en-US" w:eastAsia="zh-CN"/>
              </w:rPr>
              <w:t>1</w:t>
            </w:r>
            <w:r>
              <w:rPr>
                <w:rFonts w:hint="eastAsia" w:ascii="微软雅黑" w:hAnsi="微软雅黑" w:eastAsia="微软雅黑"/>
                <w:sz w:val="24"/>
                <w:szCs w:val="24"/>
                <w:highlight w:val="none"/>
              </w:rPr>
              <w:t>日起</w:t>
            </w:r>
          </w:p>
        </w:tc>
        <w:tc>
          <w:tcPr>
            <w:tcW w:w="476" w:type="dxa"/>
            <w:shd w:val="clear" w:color="auto" w:fill="auto"/>
            <w:vAlign w:val="center"/>
          </w:tcPr>
          <w:p>
            <w:pPr>
              <w:rPr>
                <w:rFonts w:ascii="微软雅黑" w:hAnsi="微软雅黑" w:eastAsia="微软雅黑"/>
                <w:sz w:val="24"/>
                <w:szCs w:val="24"/>
                <w:highlight w:val="none"/>
              </w:rPr>
            </w:pPr>
            <w:r>
              <w:rPr>
                <w:rFonts w:hint="eastAsia" w:ascii="微软雅黑" w:hAnsi="微软雅黑" w:eastAsia="微软雅黑"/>
                <w:sz w:val="24"/>
                <w:szCs w:val="24"/>
                <w:highlight w:val="none"/>
              </w:rPr>
              <w:t>—</w:t>
            </w:r>
          </w:p>
        </w:tc>
        <w:tc>
          <w:tcPr>
            <w:tcW w:w="2976" w:type="dxa"/>
            <w:tcBorders>
              <w:bottom w:val="single" w:color="auto" w:sz="4" w:space="0"/>
            </w:tcBorders>
            <w:shd w:val="clear" w:color="auto" w:fill="auto"/>
            <w:vAlign w:val="center"/>
          </w:tcPr>
          <w:p>
            <w:pPr>
              <w:rPr>
                <w:rFonts w:ascii="微软雅黑" w:hAnsi="微软雅黑" w:eastAsia="微软雅黑"/>
                <w:sz w:val="24"/>
                <w:szCs w:val="24"/>
                <w:highlight w:val="none"/>
              </w:rPr>
            </w:pPr>
            <w:r>
              <w:rPr>
                <w:rFonts w:hint="eastAsia" w:ascii="微软雅黑" w:hAnsi="微软雅黑" w:eastAsia="微软雅黑"/>
                <w:sz w:val="24"/>
                <w:szCs w:val="24"/>
                <w:highlight w:val="none"/>
              </w:rPr>
              <w:t>至202</w:t>
            </w:r>
            <w:r>
              <w:rPr>
                <w:rFonts w:hint="eastAsia" w:ascii="微软雅黑" w:hAnsi="微软雅黑" w:eastAsia="微软雅黑"/>
                <w:sz w:val="24"/>
                <w:szCs w:val="24"/>
                <w:highlight w:val="none"/>
                <w:lang w:val="en-US" w:eastAsia="zh-CN"/>
              </w:rPr>
              <w:t>4</w:t>
            </w:r>
            <w:r>
              <w:rPr>
                <w:rFonts w:hint="eastAsia" w:ascii="微软雅黑" w:hAnsi="微软雅黑" w:eastAsia="微软雅黑"/>
                <w:sz w:val="24"/>
                <w:szCs w:val="24"/>
                <w:highlight w:val="none"/>
              </w:rPr>
              <w:t>年</w:t>
            </w:r>
            <w:r>
              <w:rPr>
                <w:rFonts w:hint="eastAsia" w:ascii="微软雅黑" w:hAnsi="微软雅黑" w:eastAsia="微软雅黑"/>
                <w:sz w:val="24"/>
                <w:szCs w:val="24"/>
                <w:highlight w:val="none"/>
                <w:lang w:val="en-US" w:eastAsia="zh-CN"/>
              </w:rPr>
              <w:t>11</w:t>
            </w:r>
            <w:r>
              <w:rPr>
                <w:rFonts w:hint="eastAsia" w:ascii="微软雅黑" w:hAnsi="微软雅黑" w:eastAsia="微软雅黑"/>
                <w:sz w:val="24"/>
                <w:szCs w:val="24"/>
                <w:highlight w:val="none"/>
              </w:rPr>
              <w:t>月</w:t>
            </w:r>
            <w:r>
              <w:rPr>
                <w:rFonts w:hint="eastAsia" w:ascii="微软雅黑" w:hAnsi="微软雅黑" w:eastAsia="微软雅黑"/>
                <w:sz w:val="24"/>
                <w:szCs w:val="24"/>
                <w:highlight w:val="none"/>
                <w:lang w:val="en-US" w:eastAsia="zh-CN"/>
              </w:rPr>
              <w:t>30</w:t>
            </w:r>
            <w:r>
              <w:rPr>
                <w:rFonts w:hint="eastAsia" w:ascii="微软雅黑" w:hAnsi="微软雅黑" w:eastAsia="微软雅黑"/>
                <w:sz w:val="24"/>
                <w:szCs w:val="24"/>
                <w:highlight w:val="none"/>
              </w:rPr>
              <w:t>日止</w:t>
            </w:r>
          </w:p>
        </w:tc>
      </w:tr>
    </w:tbl>
    <w:p>
      <w:pPr>
        <w:rPr>
          <w:rFonts w:ascii="微软雅黑" w:hAnsi="微软雅黑" w:eastAsia="微软雅黑"/>
        </w:rPr>
      </w:pPr>
    </w:p>
    <w:p>
      <w:pPr>
        <w:rPr>
          <w:rFonts w:ascii="微软雅黑" w:hAnsi="微软雅黑" w:eastAsia="微软雅黑"/>
        </w:rPr>
      </w:pPr>
    </w:p>
    <w:p>
      <w:pPr>
        <w:pStyle w:val="14"/>
      </w:pPr>
    </w:p>
    <w:p>
      <w:pPr>
        <w:pStyle w:val="14"/>
      </w:pPr>
    </w:p>
    <w:tbl>
      <w:tblPr>
        <w:tblStyle w:val="10"/>
        <w:tblW w:w="70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00"/>
        <w:gridCol w:w="5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00" w:type="dxa"/>
            <w:vAlign w:val="center"/>
          </w:tcPr>
          <w:p>
            <w:pPr>
              <w:rPr>
                <w:rFonts w:ascii="微软雅黑" w:hAnsi="微软雅黑" w:eastAsia="微软雅黑"/>
              </w:rPr>
            </w:pPr>
            <w:r>
              <w:rPr>
                <w:rFonts w:hint="eastAsia" w:ascii="微软雅黑" w:hAnsi="微软雅黑" w:eastAsia="微软雅黑"/>
                <w:b/>
                <w:bCs/>
                <w:sz w:val="28"/>
                <w:szCs w:val="28"/>
              </w:rPr>
              <w:t>甲方：</w:t>
            </w:r>
          </w:p>
        </w:tc>
        <w:tc>
          <w:tcPr>
            <w:tcW w:w="5533" w:type="dxa"/>
            <w:tcBorders>
              <w:bottom w:val="single" w:color="auto" w:sz="4" w:space="0"/>
            </w:tcBorders>
            <w:vAlign w:val="center"/>
          </w:tcPr>
          <w:p>
            <w:pPr>
              <w:rPr>
                <w:rFonts w:ascii="微软雅黑" w:hAnsi="微软雅黑" w:eastAsia="微软雅黑"/>
                <w:b/>
                <w:bCs/>
                <w:sz w:val="28"/>
                <w:szCs w:val="28"/>
              </w:rPr>
            </w:pPr>
            <w:r>
              <w:rPr>
                <w:rFonts w:hint="eastAsia" w:ascii="微软雅黑" w:hAnsi="微软雅黑" w:eastAsia="微软雅黑"/>
                <w:b/>
                <w:bCs/>
                <w:sz w:val="28"/>
                <w:szCs w:val="28"/>
              </w:rPr>
              <w:t>成都华昌物业发展有限责任公司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00" w:type="dxa"/>
            <w:vAlign w:val="center"/>
          </w:tcPr>
          <w:p>
            <w:r>
              <w:rPr>
                <w:rFonts w:hint="eastAsia" w:ascii="微软雅黑" w:hAnsi="微软雅黑" w:eastAsia="微软雅黑"/>
                <w:b/>
                <w:bCs/>
                <w:sz w:val="28"/>
                <w:szCs w:val="28"/>
              </w:rPr>
              <w:t>乙方：</w:t>
            </w:r>
          </w:p>
        </w:tc>
        <w:tc>
          <w:tcPr>
            <w:tcW w:w="5533" w:type="dxa"/>
            <w:tcBorders>
              <w:top w:val="single" w:color="auto" w:sz="4" w:space="0"/>
              <w:bottom w:val="single" w:color="auto" w:sz="4" w:space="0"/>
            </w:tcBorders>
            <w:vAlign w:val="center"/>
          </w:tcPr>
          <w:p>
            <w:pPr>
              <w:rPr>
                <w:b/>
                <w:bCs/>
              </w:rPr>
            </w:pPr>
            <w:r>
              <w:rPr>
                <w:rFonts w:hint="eastAsia" w:ascii="微软雅黑" w:hAnsi="微软雅黑" w:eastAsia="微软雅黑"/>
                <w:b/>
                <w:bCs/>
                <w:sz w:val="28"/>
                <w:szCs w:val="28"/>
              </w:rPr>
              <w:t>北京三汇能环科技发展有限公司</w:t>
            </w:r>
          </w:p>
        </w:tc>
      </w:tr>
    </w:tbl>
    <w:p>
      <w:pPr>
        <w:widowControl/>
        <w:jc w:val="left"/>
      </w:pPr>
    </w:p>
    <w:p>
      <w:pPr>
        <w:widowControl/>
        <w:jc w:val="left"/>
      </w:pPr>
    </w:p>
    <w:p>
      <w:pPr>
        <w:widowControl/>
        <w:jc w:val="left"/>
        <w:sectPr>
          <w:headerReference r:id="rId3" w:type="default"/>
          <w:footerReference r:id="rId4" w:type="default"/>
          <w:pgSz w:w="11906" w:h="16838"/>
          <w:pgMar w:top="1871" w:right="851" w:bottom="1134" w:left="1134"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240" w:lineRule="auto"/>
        <w:jc w:val="center"/>
        <w:textAlignment w:val="auto"/>
        <w:rPr>
          <w:rFonts w:ascii="仿宋_GB2312" w:hAnsi="仿宋_GB2312" w:eastAsia="仿宋_GB2312" w:cs="仿宋_GB2312"/>
          <w:b/>
          <w:bCs/>
          <w:sz w:val="36"/>
          <w:szCs w:val="36"/>
        </w:rPr>
      </w:pPr>
      <w:r>
        <w:rPr>
          <w:rFonts w:hint="eastAsia" w:ascii="微软雅黑" w:hAnsi="微软雅黑" w:eastAsia="微软雅黑" w:cs="黑体"/>
          <w:b/>
          <w:bCs/>
          <w:sz w:val="32"/>
          <w:szCs w:val="32"/>
        </w:rPr>
        <w:t>直燃型冷热水机组维护保养服务合同</w:t>
      </w:r>
    </w:p>
    <w:p>
      <w:pPr>
        <w:widowControl/>
        <w:adjustRightInd w:val="0"/>
        <w:snapToGrid w:val="0"/>
        <w:jc w:val="left"/>
        <w:rPr>
          <w:rFonts w:ascii="微软雅黑" w:hAnsi="微软雅黑" w:eastAsia="微软雅黑" w:cs="仿宋"/>
          <w:b/>
          <w:bCs/>
          <w:sz w:val="24"/>
          <w:szCs w:val="24"/>
        </w:rPr>
      </w:pPr>
      <w:r>
        <w:rPr>
          <w:rFonts w:hint="eastAsia" w:ascii="微软雅黑" w:hAnsi="微软雅黑" w:eastAsia="微软雅黑" w:cs="仿宋"/>
          <w:b/>
          <w:bCs/>
          <w:sz w:val="24"/>
          <w:szCs w:val="24"/>
        </w:rPr>
        <w:t>甲方：成都华昌物业发展有限责任公司</w:t>
      </w:r>
    </w:p>
    <w:p>
      <w:pPr>
        <w:widowControl/>
        <w:adjustRightInd w:val="0"/>
        <w:snapToGrid w:val="0"/>
        <w:jc w:val="left"/>
        <w:rPr>
          <w:rFonts w:hint="eastAsia" w:ascii="微软雅黑" w:hAnsi="微软雅黑" w:eastAsia="微软雅黑" w:cs="仿宋"/>
          <w:b/>
          <w:bCs/>
          <w:sz w:val="24"/>
          <w:szCs w:val="24"/>
        </w:rPr>
      </w:pPr>
      <w:r>
        <w:rPr>
          <w:rFonts w:hint="eastAsia" w:ascii="微软雅黑" w:hAnsi="微软雅黑" w:eastAsia="微软雅黑" w:cs="仿宋"/>
          <w:b/>
          <w:bCs/>
          <w:sz w:val="24"/>
          <w:szCs w:val="24"/>
        </w:rPr>
        <w:t>乙方：北京三汇能环科技发展有限公司</w:t>
      </w:r>
    </w:p>
    <w:p>
      <w:pPr>
        <w:spacing w:line="520" w:lineRule="exact"/>
        <w:ind w:right="-309" w:rightChars="-147"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根据《中华人民共和国</w:t>
      </w:r>
      <w:r>
        <w:rPr>
          <w:rFonts w:hint="eastAsia" w:ascii="微软雅黑" w:hAnsi="微软雅黑" w:eastAsia="微软雅黑" w:cs="微软雅黑"/>
          <w:sz w:val="24"/>
          <w:szCs w:val="24"/>
          <w:lang w:eastAsia="zh-CN"/>
        </w:rPr>
        <w:t>民法典</w:t>
      </w:r>
      <w:r>
        <w:rPr>
          <w:rFonts w:hint="eastAsia" w:ascii="微软雅黑" w:hAnsi="微软雅黑" w:eastAsia="微软雅黑" w:cs="微软雅黑"/>
          <w:sz w:val="24"/>
          <w:szCs w:val="24"/>
        </w:rPr>
        <w:t>》等法律、法规及相关政策的规定，在平等、自愿的基础上，甲、乙双方就成都市妇女儿童中心直燃型冷热水机组维护保养事项，协商一致，达成合同如下：</w:t>
      </w:r>
    </w:p>
    <w:p>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项目地址</w:t>
      </w:r>
    </w:p>
    <w:p>
      <w:pPr>
        <w:pStyle w:val="14"/>
        <w:rPr>
          <w:rFonts w:hint="eastAsia" w:ascii="微软雅黑" w:hAnsi="微软雅黑" w:eastAsia="微软雅黑" w:cs="微软雅黑"/>
          <w:b w:val="0"/>
          <w:bCs/>
          <w:sz w:val="24"/>
          <w:szCs w:val="24"/>
          <w:highlight w:val="none"/>
          <w:lang w:val="en-US" w:eastAsia="zh-CN"/>
        </w:rPr>
      </w:pPr>
      <w:r>
        <w:rPr>
          <w:rFonts w:hint="eastAsia" w:ascii="仿宋_GB2312" w:hAnsi="仿宋_GB2312" w:eastAsia="仿宋_GB2312" w:cs="仿宋_GB2312"/>
          <w:b/>
          <w:sz w:val="32"/>
          <w:szCs w:val="32"/>
          <w:highlight w:val="none"/>
          <w:lang w:val="en-US" w:eastAsia="zh-CN"/>
        </w:rPr>
        <w:t xml:space="preserve">   </w:t>
      </w:r>
      <w:r>
        <w:rPr>
          <w:rFonts w:hint="eastAsia" w:ascii="微软雅黑" w:hAnsi="微软雅黑" w:eastAsia="微软雅黑" w:cs="微软雅黑"/>
          <w:b w:val="0"/>
          <w:bCs/>
          <w:sz w:val="24"/>
          <w:szCs w:val="24"/>
          <w:highlight w:val="none"/>
          <w:lang w:val="en-US" w:eastAsia="zh-CN"/>
        </w:rPr>
        <w:t>成都市锦江区东大路238号</w:t>
      </w:r>
    </w:p>
    <w:p>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维护保养内容</w:t>
      </w:r>
    </w:p>
    <w:p>
      <w:pPr>
        <w:ind w:left="479" w:leftChars="228" w:firstLine="0" w:firstLineChars="0"/>
        <w:rPr>
          <w:rFonts w:hint="eastAsia" w:ascii="微软雅黑" w:hAnsi="微软雅黑" w:eastAsia="微软雅黑" w:cs="微软雅黑"/>
          <w:b w:val="0"/>
          <w:bCs/>
          <w:color w:val="000000"/>
          <w:kern w:val="0"/>
          <w:sz w:val="24"/>
          <w:szCs w:val="24"/>
          <w:highlight w:val="none"/>
          <w:lang w:val="en-US" w:eastAsia="zh-CN" w:bidi="ar-SA"/>
        </w:rPr>
      </w:pPr>
      <w:r>
        <w:rPr>
          <w:rFonts w:hint="eastAsia" w:ascii="微软雅黑" w:hAnsi="微软雅黑" w:eastAsia="微软雅黑" w:cs="微软雅黑"/>
          <w:b w:val="0"/>
          <w:bCs/>
          <w:color w:val="000000"/>
          <w:kern w:val="0"/>
          <w:sz w:val="24"/>
          <w:szCs w:val="24"/>
          <w:highlight w:val="none"/>
          <w:lang w:val="en-US" w:eastAsia="zh-CN" w:bidi="ar-SA"/>
        </w:rPr>
        <w:t>甲方委托乙方为成都市妇女儿童中心贰台直燃型冷热水机组（型号：GD 60 BCX）提供维护保养服务(具体维护保养内容见附件)。</w:t>
      </w:r>
    </w:p>
    <w:p>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服务期限</w:t>
      </w:r>
    </w:p>
    <w:p>
      <w:pPr>
        <w:ind w:firstLine="480" w:firstLineChars="200"/>
        <w:rPr>
          <w:rFonts w:hint="eastAsia" w:ascii="仿宋_GB2312" w:hAnsi="仿宋_GB2312" w:eastAsia="仿宋_GB2312" w:cs="仿宋_GB2312"/>
          <w:sz w:val="32"/>
          <w:szCs w:val="32"/>
        </w:rPr>
      </w:pPr>
      <w:bookmarkStart w:id="0" w:name="_Toc447099226"/>
      <w:r>
        <w:rPr>
          <w:rFonts w:hint="eastAsia" w:ascii="微软雅黑" w:hAnsi="微软雅黑" w:eastAsia="微软雅黑" w:cs="微软雅黑"/>
          <w:b w:val="0"/>
          <w:bCs/>
          <w:color w:val="000000"/>
          <w:kern w:val="0"/>
          <w:sz w:val="24"/>
          <w:szCs w:val="24"/>
          <w:highlight w:val="none"/>
          <w:lang w:val="en-US" w:eastAsia="zh-CN" w:bidi="ar-SA"/>
        </w:rPr>
        <w:t>2024年1月1日至2024年11月30日，维保服务期限为11个月。</w:t>
      </w:r>
      <w:bookmarkEnd w:id="0"/>
    </w:p>
    <w:p>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维护保养服务费用</w:t>
      </w:r>
    </w:p>
    <w:p>
      <w:pPr>
        <w:ind w:firstLine="480" w:firstLineChars="200"/>
        <w:rPr>
          <w:rFonts w:hint="eastAsia" w:ascii="微软雅黑" w:hAnsi="微软雅黑" w:eastAsia="微软雅黑" w:cs="微软雅黑"/>
          <w:b w:val="0"/>
          <w:bCs/>
          <w:color w:val="000000"/>
          <w:kern w:val="0"/>
          <w:sz w:val="24"/>
          <w:szCs w:val="24"/>
          <w:highlight w:val="none"/>
          <w:lang w:val="en-US" w:eastAsia="zh-CN" w:bidi="ar-SA"/>
        </w:rPr>
      </w:pPr>
      <w:r>
        <w:rPr>
          <w:rFonts w:hint="eastAsia" w:ascii="微软雅黑" w:hAnsi="微软雅黑" w:eastAsia="微软雅黑" w:cs="微软雅黑"/>
          <w:b w:val="0"/>
          <w:bCs/>
          <w:color w:val="000000"/>
          <w:kern w:val="0"/>
          <w:sz w:val="24"/>
          <w:szCs w:val="24"/>
          <w:highlight w:val="none"/>
          <w:lang w:val="en-US" w:eastAsia="zh-CN" w:bidi="ar-SA"/>
        </w:rPr>
        <w:t>本合同每月维保服务为含税人民币¥3916.65元，总金额为含税人民币¥43083.15元（大写：肆万叁仟零捌拾叁元壹角伍分)，</w:t>
      </w:r>
      <w:r>
        <w:rPr>
          <w:rFonts w:hint="eastAsia" w:ascii="微软雅黑" w:hAnsi="微软雅黑" w:eastAsia="微软雅黑" w:cs="微软雅黑"/>
          <w:sz w:val="24"/>
          <w:szCs w:val="24"/>
        </w:rPr>
        <w:t>税率</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不含税总价人民币¥</w:t>
      </w:r>
      <w:r>
        <w:rPr>
          <w:rFonts w:hint="eastAsia" w:ascii="微软雅黑" w:hAnsi="微软雅黑" w:eastAsia="微软雅黑" w:cs="微软雅黑"/>
          <w:sz w:val="24"/>
          <w:szCs w:val="24"/>
          <w:lang w:val="en-US" w:eastAsia="zh-CN"/>
        </w:rPr>
        <w:t>40644.48</w:t>
      </w:r>
      <w:r>
        <w:rPr>
          <w:rFonts w:hint="eastAsia" w:ascii="微软雅黑" w:hAnsi="微软雅黑" w:eastAsia="微软雅黑" w:cs="微软雅黑"/>
          <w:sz w:val="24"/>
          <w:szCs w:val="24"/>
        </w:rPr>
        <w:t>（大写：肆万</w:t>
      </w:r>
      <w:r>
        <w:rPr>
          <w:rFonts w:hint="eastAsia" w:ascii="微软雅黑" w:hAnsi="微软雅黑" w:eastAsia="微软雅黑" w:cs="微软雅黑"/>
          <w:sz w:val="24"/>
          <w:szCs w:val="24"/>
          <w:lang w:val="en-US" w:eastAsia="zh-CN"/>
        </w:rPr>
        <w:t>零陆佰肆拾肆元肆角捌分</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合同履行期间若税率因国家税收政策调整发生变化的，本合同约定不含税价不变，价税合计金额自国家税率调整之日起执行。</w:t>
      </w:r>
      <w:r>
        <w:rPr>
          <w:rFonts w:hint="eastAsia" w:ascii="微软雅黑" w:hAnsi="微软雅黑" w:eastAsia="微软雅黑" w:cs="微软雅黑"/>
          <w:b w:val="0"/>
          <w:bCs/>
          <w:color w:val="000000"/>
          <w:kern w:val="0"/>
          <w:sz w:val="24"/>
          <w:szCs w:val="24"/>
          <w:highlight w:val="none"/>
          <w:lang w:val="en-US" w:eastAsia="zh-CN" w:bidi="ar-SA"/>
        </w:rPr>
        <w:t>维护保养服务费包含：</w:t>
      </w:r>
    </w:p>
    <w:p>
      <w:pPr>
        <w:rPr>
          <w:rFonts w:hint="eastAsia" w:ascii="微软雅黑" w:hAnsi="微软雅黑" w:eastAsia="微软雅黑" w:cs="微软雅黑"/>
          <w:b w:val="0"/>
          <w:bCs/>
          <w:color w:val="000000"/>
          <w:kern w:val="0"/>
          <w:sz w:val="24"/>
          <w:szCs w:val="24"/>
          <w:highlight w:val="none"/>
          <w:lang w:val="en-US" w:eastAsia="zh-CN" w:bidi="ar-SA"/>
        </w:rPr>
      </w:pPr>
      <w:r>
        <w:rPr>
          <w:rFonts w:hint="eastAsia" w:ascii="微软雅黑" w:hAnsi="微软雅黑" w:eastAsia="微软雅黑" w:cs="微软雅黑"/>
          <w:b w:val="0"/>
          <w:bCs/>
          <w:color w:val="000000"/>
          <w:kern w:val="0"/>
          <w:sz w:val="24"/>
          <w:szCs w:val="24"/>
          <w:highlight w:val="none"/>
          <w:lang w:val="en-US" w:eastAsia="zh-CN" w:bidi="ar-SA"/>
        </w:rPr>
        <w:t>1 、维护保养涉及全部内容的人工、检测及保养用气体：氮气、氧气、乙炔等费用；</w:t>
      </w:r>
    </w:p>
    <w:p>
      <w:pPr>
        <w:numPr>
          <w:ilvl w:val="0"/>
          <w:numId w:val="0"/>
        </w:numPr>
        <w:rPr>
          <w:rFonts w:hint="eastAsia" w:ascii="微软雅黑" w:hAnsi="微软雅黑" w:eastAsia="微软雅黑" w:cs="微软雅黑"/>
          <w:b w:val="0"/>
          <w:bCs/>
          <w:color w:val="000000"/>
          <w:kern w:val="0"/>
          <w:sz w:val="24"/>
          <w:szCs w:val="24"/>
          <w:highlight w:val="none"/>
          <w:lang w:val="en-US" w:eastAsia="zh-CN" w:bidi="ar-SA"/>
        </w:rPr>
      </w:pPr>
      <w:r>
        <w:rPr>
          <w:rFonts w:hint="eastAsia" w:ascii="微软雅黑" w:hAnsi="微软雅黑" w:eastAsia="微软雅黑" w:cs="微软雅黑"/>
          <w:b w:val="0"/>
          <w:bCs/>
          <w:color w:val="000000"/>
          <w:kern w:val="0"/>
          <w:sz w:val="24"/>
          <w:szCs w:val="24"/>
          <w:highlight w:val="none"/>
          <w:lang w:val="en-US" w:eastAsia="zh-CN" w:bidi="ar-SA"/>
        </w:rPr>
        <w:t>2、单次单价人民币在¥1000.00元（含¥1000.00元）以下的材料（如单次单价超出¥1000.00元，超出部分由甲方支付），更换材料应经双方工作人员签字认可后实施，否则甲方不予认可。</w:t>
      </w:r>
    </w:p>
    <w:p>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付款方式及支付周期</w:t>
      </w:r>
    </w:p>
    <w:p>
      <w:pPr>
        <w:numPr>
          <w:ilvl w:val="0"/>
          <w:numId w:val="2"/>
        </w:numPr>
        <w:spacing w:line="520" w:lineRule="exact"/>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付款方式为银行转账；</w:t>
      </w:r>
    </w:p>
    <w:p>
      <w:pPr>
        <w:numPr>
          <w:ilvl w:val="0"/>
          <w:numId w:val="0"/>
        </w:numPr>
        <w:spacing w:line="520" w:lineRule="exact"/>
        <w:ind w:left="480" w:hanging="480" w:hangingChars="200"/>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2、 付款周期为三个月，即维护保养期每满三个月，经甲方对乙方上一季度维保工作考评，甲方根据考评结果按季度支付</w:t>
      </w:r>
      <w:r>
        <w:rPr>
          <w:rFonts w:hint="eastAsia" w:ascii="微软雅黑" w:hAnsi="微软雅黑" w:eastAsia="微软雅黑" w:cs="微软雅黑"/>
          <w:sz w:val="24"/>
          <w:szCs w:val="24"/>
          <w:lang w:val="en-US" w:eastAsia="zh-CN"/>
        </w:rPr>
        <w:t>维护保养服务费</w:t>
      </w:r>
      <w:r>
        <w:rPr>
          <w:rFonts w:hint="eastAsia" w:ascii="微软雅黑" w:hAnsi="微软雅黑" w:eastAsia="微软雅黑" w:cs="微软雅黑"/>
          <w:bCs/>
          <w:sz w:val="24"/>
          <w:szCs w:val="24"/>
          <w:lang w:val="en-US" w:eastAsia="zh-CN"/>
        </w:rPr>
        <w:t>；不足三个月的，按实际服务时间支付</w:t>
      </w:r>
      <w:r>
        <w:rPr>
          <w:rFonts w:hint="eastAsia" w:ascii="微软雅黑" w:hAnsi="微软雅黑" w:eastAsia="微软雅黑" w:cs="微软雅黑"/>
          <w:sz w:val="24"/>
          <w:szCs w:val="24"/>
          <w:lang w:val="en-US" w:eastAsia="zh-CN"/>
        </w:rPr>
        <w:t>维护保养服务费。</w:t>
      </w:r>
    </w:p>
    <w:p>
      <w:pPr>
        <w:numPr>
          <w:ilvl w:val="0"/>
          <w:numId w:val="0"/>
        </w:numPr>
        <w:spacing w:line="520" w:lineRule="exact"/>
        <w:ind w:left="480" w:hanging="480" w:hanging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bCs/>
          <w:sz w:val="24"/>
          <w:szCs w:val="24"/>
          <w:lang w:val="en-US" w:eastAsia="zh-CN"/>
        </w:rPr>
        <w:t>3、 每次付款时间届至时，乙方需提前7个工作日书面通知甲方，并提交有进项税抵扣的增值税专用发票，甲方在审核无误后10个工作日内付款给乙方，以上资料未提交齐全而造成甲方付款延期的，付款期限相应顺延且甲方不承担任何责任；</w:t>
      </w:r>
    </w:p>
    <w:p>
      <w:pPr>
        <w:numPr>
          <w:ilvl w:val="0"/>
          <w:numId w:val="0"/>
        </w:numPr>
        <w:spacing w:line="520" w:lineRule="exact"/>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4、开票信息：</w:t>
      </w:r>
    </w:p>
    <w:tbl>
      <w:tblPr>
        <w:tblStyle w:val="10"/>
        <w:tblW w:w="1032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0" w:type="dxa"/>
          </w:tcPr>
          <w:p>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sz w:val="24"/>
                <w:szCs w:val="24"/>
                <w:highlight w:val="none"/>
              </w:rPr>
              <w:t>单位名称：成都华昌物业发展有限责任公司</w:t>
            </w:r>
          </w:p>
        </w:tc>
        <w:tc>
          <w:tcPr>
            <w:tcW w:w="4680" w:type="dxa"/>
          </w:tcPr>
          <w:p>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sz w:val="24"/>
                <w:szCs w:val="24"/>
                <w:highlight w:val="none"/>
              </w:rPr>
              <w:t>单位名称：</w:t>
            </w:r>
            <w:r>
              <w:rPr>
                <w:rFonts w:hint="eastAsia" w:ascii="微软雅黑" w:hAnsi="微软雅黑" w:eastAsia="微软雅黑" w:cs="微软雅黑"/>
                <w:b w:val="0"/>
                <w:bCs w:val="0"/>
                <w:color w:val="auto"/>
                <w:sz w:val="24"/>
                <w:szCs w:val="24"/>
                <w:highlight w:val="none"/>
              </w:rPr>
              <w:t>北京三汇能环科技发展有</w:t>
            </w:r>
            <w:r>
              <w:rPr>
                <w:rFonts w:hint="eastAsia" w:ascii="微软雅黑" w:hAnsi="微软雅黑" w:eastAsia="微软雅黑" w:cs="微软雅黑"/>
                <w:color w:val="auto"/>
                <w:sz w:val="24"/>
                <w:szCs w:val="24"/>
                <w:highlight w:val="none"/>
              </w:rPr>
              <w:t>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40" w:type="dxa"/>
          </w:tcPr>
          <w:p>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纳税人识别号：915101002019597608</w:t>
            </w:r>
            <w:r>
              <w:rPr>
                <w:rFonts w:hint="eastAsia" w:ascii="微软雅黑" w:hAnsi="微软雅黑" w:eastAsia="微软雅黑" w:cs="微软雅黑"/>
                <w:color w:val="auto"/>
                <w:sz w:val="24"/>
                <w:szCs w:val="24"/>
                <w:highlight w:val="none"/>
              </w:rPr>
              <w:t xml:space="preserve"> </w:t>
            </w:r>
          </w:p>
        </w:tc>
        <w:tc>
          <w:tcPr>
            <w:tcW w:w="4680" w:type="dxa"/>
          </w:tcPr>
          <w:p>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纳税人识别号：</w:t>
            </w:r>
            <w:r>
              <w:rPr>
                <w:rFonts w:hint="eastAsia" w:ascii="微软雅黑" w:hAnsi="微软雅黑" w:eastAsia="微软雅黑" w:cs="微软雅黑"/>
                <w:color w:val="auto"/>
                <w:sz w:val="24"/>
                <w:szCs w:val="24"/>
                <w:highlight w:val="none"/>
                <w:lang w:val="en-US" w:eastAsia="zh-CN"/>
              </w:rPr>
              <w:t>91110106666295220C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640" w:type="dxa"/>
          </w:tcPr>
          <w:p>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开户行：</w:t>
            </w:r>
            <w:r>
              <w:rPr>
                <w:rFonts w:hint="eastAsia" w:ascii="微软雅黑" w:hAnsi="微软雅黑" w:eastAsia="微软雅黑" w:cs="微软雅黑"/>
                <w:sz w:val="24"/>
                <w:szCs w:val="24"/>
              </w:rPr>
              <w:t>中国建设银行股份有限公司成都后子门支行</w:t>
            </w:r>
          </w:p>
        </w:tc>
        <w:tc>
          <w:tcPr>
            <w:tcW w:w="4680" w:type="dxa"/>
          </w:tcPr>
          <w:p>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sz w:val="24"/>
                <w:szCs w:val="24"/>
                <w:highlight w:val="none"/>
              </w:rPr>
              <w:t>开户银行：</w:t>
            </w:r>
            <w:r>
              <w:rPr>
                <w:rFonts w:hint="eastAsia" w:ascii="微软雅黑" w:hAnsi="微软雅黑" w:eastAsia="微软雅黑" w:cs="微软雅黑"/>
                <w:color w:val="auto"/>
                <w:sz w:val="24"/>
                <w:szCs w:val="24"/>
                <w:highlight w:val="none"/>
                <w:lang w:val="en-US" w:eastAsia="zh-CN"/>
              </w:rPr>
              <w:t>北京农村商业银行股份有限公司丰台支行</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0" w:type="dxa"/>
          </w:tcPr>
          <w:p>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账号：51001426239050035177</w:t>
            </w:r>
          </w:p>
        </w:tc>
        <w:tc>
          <w:tcPr>
            <w:tcW w:w="4680" w:type="dxa"/>
          </w:tcPr>
          <w:p>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账</w:t>
            </w:r>
            <w:r>
              <w:rPr>
                <w:rFonts w:hint="eastAsia" w:ascii="微软雅黑" w:hAnsi="微软雅黑" w:eastAsia="微软雅黑" w:cs="微软雅黑"/>
                <w:color w:val="auto"/>
                <w:sz w:val="24"/>
                <w:szCs w:val="24"/>
                <w:highlight w:val="none"/>
              </w:rPr>
              <w:t>号：0201000103000023429</w:t>
            </w:r>
          </w:p>
        </w:tc>
      </w:tr>
    </w:tbl>
    <w:p>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甲方权利与义务</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按时</w:t>
      </w:r>
      <w:r>
        <w:rPr>
          <w:rFonts w:hint="eastAsia" w:ascii="微软雅黑" w:hAnsi="微软雅黑" w:eastAsia="微软雅黑" w:cs="微软雅黑"/>
          <w:sz w:val="24"/>
          <w:szCs w:val="24"/>
        </w:rPr>
        <w:t>支付</w:t>
      </w:r>
      <w:r>
        <w:rPr>
          <w:rFonts w:hint="eastAsia" w:ascii="微软雅黑" w:hAnsi="微软雅黑" w:eastAsia="微软雅黑" w:cs="微软雅黑"/>
          <w:sz w:val="24"/>
          <w:szCs w:val="24"/>
          <w:lang w:eastAsia="zh-CN"/>
        </w:rPr>
        <w:t>维护保养</w:t>
      </w:r>
      <w:r>
        <w:rPr>
          <w:rFonts w:hint="eastAsia" w:ascii="微软雅黑" w:hAnsi="微软雅黑" w:eastAsia="微软雅黑" w:cs="微软雅黑"/>
          <w:sz w:val="24"/>
          <w:szCs w:val="24"/>
        </w:rPr>
        <w:t>费用；</w:t>
      </w:r>
    </w:p>
    <w:p>
      <w:pPr>
        <w:numPr>
          <w:ilvl w:val="0"/>
          <w:numId w:val="0"/>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对乙方的维保服务进行考评；</w:t>
      </w:r>
    </w:p>
    <w:p>
      <w:pPr>
        <w:numPr>
          <w:ilvl w:val="0"/>
          <w:numId w:val="0"/>
        </w:num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3、承担因燃料、电力及辅助设施不良等造成的机组损坏及维修费用；</w:t>
      </w:r>
    </w:p>
    <w:p>
      <w:pPr>
        <w:numPr>
          <w:ilvl w:val="0"/>
          <w:numId w:val="0"/>
        </w:num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eastAsia="zh-CN"/>
        </w:rPr>
        <w:t>负责日常的空调巡视、检查及纪录；</w:t>
      </w:r>
    </w:p>
    <w:p>
      <w:pPr>
        <w:numPr>
          <w:ilvl w:val="0"/>
          <w:numId w:val="0"/>
        </w:num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lang w:eastAsia="zh-CN"/>
        </w:rPr>
        <w:t>给予乙方服务工作必要的工作便利和支持；</w:t>
      </w:r>
    </w:p>
    <w:p>
      <w:pPr>
        <w:numPr>
          <w:ilvl w:val="0"/>
          <w:numId w:val="0"/>
        </w:numPr>
        <w:ind w:left="480" w:hanging="480" w:hangingChars="200"/>
        <w:rPr>
          <w:rFonts w:hint="eastAsia" w:ascii="仿宋_GB2312" w:hAnsi="仿宋_GB2312" w:eastAsia="仿宋_GB2312" w:cs="仿宋_GB2312"/>
          <w:sz w:val="32"/>
          <w:szCs w:val="32"/>
          <w:lang w:eastAsia="zh-CN"/>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eastAsia="zh-CN"/>
        </w:rPr>
        <w:t>审批乙方提交的维保计划及故障维修计划，检查维保准备情况，检查乙方提交的维保记录、维修记录及巡检记录，并签字确认。</w:t>
      </w:r>
    </w:p>
    <w:p>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乙方权利和义务</w:t>
      </w:r>
    </w:p>
    <w:p>
      <w:pPr>
        <w:numPr>
          <w:ilvl w:val="0"/>
          <w:numId w:val="0"/>
        </w:numPr>
        <w:ind w:left="240" w:hanging="240" w:hangingChars="1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1、乙方为甲方提供本合同约定的维护保养内容，乙方的维护保养人员必须按照合同约定的内容和要求对机组进行维护维保，并承担服务过程中一切安全责任；</w:t>
      </w:r>
    </w:p>
    <w:p>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2、乙方派出服务人员应具备相应技术资格，具有特种作业操作证，并向甲方提交相应资料，服务人员变更应提前向甲方报备，派出服务人员应遵守甲方的相关制度、规定，接受甲方监督；</w:t>
      </w:r>
    </w:p>
    <w:p>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3、接甲方报修后，乙方须在1小时出发，2小时内到达故障现场，遇紧急故障时须在1小时内到达现场；</w:t>
      </w:r>
    </w:p>
    <w:p>
      <w:pPr>
        <w:numPr>
          <w:ilvl w:val="0"/>
          <w:numId w:val="0"/>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4、乙方应备齐常用备件，保证维修及时率；</w:t>
      </w:r>
    </w:p>
    <w:p>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5、由于突发故障造成停机，乙方应立即进行维修或更换配件，首先确保机组正常运行，然后调查分析故障原因，提交分析报告；</w:t>
      </w:r>
    </w:p>
    <w:p>
      <w:pPr>
        <w:numPr>
          <w:ilvl w:val="0"/>
          <w:numId w:val="0"/>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6、乙方应制定保养计划，提交甲方认可后方可实施，保养工作不应影响本项目的正常运营；</w:t>
      </w:r>
    </w:p>
    <w:p>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7、维修保养服务中，乙方不得擅自改动设备，若需要变动应提前通知甲方，在甲方认可后方可变动；</w:t>
      </w:r>
    </w:p>
    <w:p>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维修保养服务时，乙方应负责保护甲方相关设施设备、物品、场地的完好，由于乙方原因造成的（设施设备、人身）安全事故及环境污染、设施设备损坏，乙方应在甲方规定时间内恢复，其恢复费用由乙方承担；</w:t>
      </w:r>
    </w:p>
    <w:p>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9、乙方在机组制冷、制热前，停机检修期间对溴化锂溶液各进行1次化验，并按照化验结果添加适当的辛基醇化物及防腐剂溶液，费用由乙方承担；</w:t>
      </w:r>
    </w:p>
    <w:p>
      <w:pPr>
        <w:numPr>
          <w:ilvl w:val="0"/>
          <w:numId w:val="0"/>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10、维护保养、维修工作所产生的有毒有害污染环境物品，由乙方负责回收并处置；</w:t>
      </w:r>
    </w:p>
    <w:p>
      <w:pPr>
        <w:numPr>
          <w:ilvl w:val="0"/>
          <w:numId w:val="0"/>
        </w:numPr>
        <w:ind w:left="480" w:hanging="480" w:hanging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11、乙方承诺项目</w:t>
      </w:r>
      <w:r>
        <w:rPr>
          <w:rFonts w:hint="eastAsia" w:ascii="微软雅黑" w:hAnsi="微软雅黑" w:eastAsia="微软雅黑" w:cs="微软雅黑"/>
          <w:b w:val="0"/>
          <w:bCs w:val="0"/>
          <w:sz w:val="24"/>
          <w:szCs w:val="24"/>
          <w:u w:val="none"/>
        </w:rPr>
        <w:t>贰台直</w:t>
      </w:r>
      <w:r>
        <w:rPr>
          <w:rFonts w:hint="eastAsia" w:ascii="微软雅黑" w:hAnsi="微软雅黑" w:eastAsia="微软雅黑" w:cs="微软雅黑"/>
          <w:sz w:val="24"/>
          <w:szCs w:val="24"/>
          <w:u w:val="none"/>
        </w:rPr>
        <w:t>燃型冷热水机组</w:t>
      </w:r>
      <w:r>
        <w:rPr>
          <w:rFonts w:hint="eastAsia" w:ascii="微软雅黑" w:hAnsi="微软雅黑" w:eastAsia="微软雅黑" w:cs="微软雅黑"/>
          <w:sz w:val="24"/>
          <w:szCs w:val="24"/>
        </w:rPr>
        <w:t>（型号：GD 60 BCX）</w:t>
      </w:r>
      <w:r>
        <w:rPr>
          <w:rFonts w:hint="eastAsia" w:ascii="微软雅黑" w:hAnsi="微软雅黑" w:eastAsia="微软雅黑" w:cs="微软雅黑"/>
          <w:sz w:val="24"/>
          <w:szCs w:val="24"/>
          <w:lang w:val="en-US" w:eastAsia="zh-CN"/>
        </w:rPr>
        <w:t>维护保养后，其制冷、制热效能不低于空调系统出厂时标准理论效能的80%以上；</w:t>
      </w:r>
    </w:p>
    <w:p>
      <w:pPr>
        <w:numPr>
          <w:ilvl w:val="0"/>
          <w:numId w:val="0"/>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12、乙方提供的配件或甲方委托乙方代购的配件，乙方保证是原厂配件且为合格品。</w:t>
      </w:r>
    </w:p>
    <w:p>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特别约定事项</w:t>
      </w:r>
    </w:p>
    <w:p>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1、一般故障停机维修时间不得超过1个工作日，严重故障停机维修时间不得超过5个工作日（含节假日时间），重特大故障停机维修时间由双方协商解决。若因此造成的超时停机并给甲方带来实际损失，双方协商；</w:t>
      </w:r>
    </w:p>
    <w:p>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如乙方维保服务达不到合同约定的标准，甲方有权要求乙方进行整改，相关整改费用由乙方自行承担，且甲方有权根据考核情况适当扣减费用。一年内累计三次考核不合格，视为年度考核不合格，甲方有权终止合同，由乙方承担违约责任；</w:t>
      </w:r>
    </w:p>
    <w:p>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3、在接到甲方报修后，若因乙方未及时到达现场影响甲方使用且造成损失，甲方有权按每次¥200.00元扣除维护保养服务费（甲方操作不当等原因除外）。</w:t>
      </w:r>
    </w:p>
    <w:p>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其他事项</w:t>
      </w:r>
    </w:p>
    <w:p>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1、任何一方不得将本合同及附件所涉及的内容向第三方泄漏，违者按本合同总金额的贰倍向守约方支付违约金；</w:t>
      </w:r>
    </w:p>
    <w:p>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2、若因甲方签订的物业服务合同/协议到期，本合同自动终止，并按实际维保时间结算维护保养服务费，乙方须协助甲方办理空调机组移交；</w:t>
      </w:r>
    </w:p>
    <w:p>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3、本合同一式五份（甲方三份、乙方两份），经甲乙双方签字盖章后生效，附件与合同正本具有相同法律效力；</w:t>
      </w:r>
    </w:p>
    <w:p>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4、其它未尽事宜，双方本着友好的原则协商解决，如协商不成，双方均可向设备所在地（四川省成都市）人民法院提起诉讼。</w:t>
      </w:r>
    </w:p>
    <w:p>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附件1   《乙方维护保养承诺》</w:t>
      </w:r>
    </w:p>
    <w:p>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附件2   《定期检查范围》</w:t>
      </w:r>
    </w:p>
    <w:p>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附件3   《年度维护保养范围》</w:t>
      </w:r>
    </w:p>
    <w:p>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附件4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《维护保养要求》</w:t>
      </w:r>
    </w:p>
    <w:p>
      <w:pPr>
        <w:spacing w:line="440" w:lineRule="exact"/>
        <w:ind w:right="-269" w:rightChars="-128"/>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附件5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《直燃型冷热水机组维保服务考核表》</w:t>
      </w:r>
    </w:p>
    <w:p>
      <w:pPr>
        <w:spacing w:line="440" w:lineRule="exact"/>
        <w:ind w:left="1106" w:leftChars="0" w:hanging="1106" w:hangingChars="461"/>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附件6   《零配件单件单价金额¥1000.00元以内（含¥1000.00元）免费清单》</w:t>
      </w:r>
    </w:p>
    <w:p>
      <w:pPr>
        <w:ind w:left="48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eastAsia="zh-CN"/>
        </w:rPr>
        <w:t xml:space="preserve">7   </w:t>
      </w:r>
      <w:r>
        <w:rPr>
          <w:rFonts w:hint="eastAsia" w:ascii="微软雅黑" w:hAnsi="微软雅黑" w:eastAsia="微软雅黑" w:cs="微软雅黑"/>
          <w:sz w:val="24"/>
          <w:szCs w:val="24"/>
        </w:rPr>
        <w:t>《廉洁诚信协议》</w:t>
      </w:r>
    </w:p>
    <w:p>
      <w:pPr>
        <w:pStyle w:val="14"/>
        <w:rPr>
          <w:rFonts w:hint="eastAsia"/>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微软雅黑" w:hAnsi="微软雅黑" w:eastAsia="微软雅黑" w:cs="微软雅黑"/>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微软雅黑" w:hAnsi="微软雅黑" w:eastAsia="微软雅黑" w:cs="微软雅黑"/>
          <w:color w:val="000000"/>
          <w:sz w:val="24"/>
          <w:szCs w:val="24"/>
        </w:rPr>
      </w:pPr>
    </w:p>
    <w:p>
      <w:pPr>
        <w:pStyle w:val="14"/>
        <w:rPr>
          <w:rFonts w:hint="eastAsia" w:ascii="微软雅黑" w:hAnsi="微软雅黑" w:eastAsia="微软雅黑" w:cs="微软雅黑"/>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微软雅黑" w:hAnsi="微软雅黑" w:eastAsia="微软雅黑" w:cs="微软雅黑"/>
          <w:b/>
          <w:color w:val="000000"/>
          <w:sz w:val="24"/>
          <w:szCs w:val="24"/>
        </w:rPr>
      </w:pPr>
      <w:r>
        <w:rPr>
          <w:rFonts w:hint="eastAsia" w:ascii="微软雅黑" w:hAnsi="微软雅黑" w:eastAsia="微软雅黑" w:cs="微软雅黑"/>
          <w:color w:val="000000"/>
          <w:sz w:val="24"/>
          <w:szCs w:val="24"/>
        </w:rPr>
        <w:t>甲方：成都华昌物业发展有限责任公司</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乙方</w:t>
      </w:r>
      <w:r>
        <w:rPr>
          <w:rFonts w:hint="eastAsia" w:ascii="微软雅黑" w:hAnsi="微软雅黑" w:eastAsia="微软雅黑" w:cs="微软雅黑"/>
          <w:color w:val="000000"/>
          <w:sz w:val="24"/>
          <w:szCs w:val="24"/>
          <w:lang w:eastAsia="zh-CN"/>
        </w:rPr>
        <w:t>：</w:t>
      </w:r>
      <w:r>
        <w:rPr>
          <w:rFonts w:hint="eastAsia" w:ascii="微软雅黑" w:hAnsi="微软雅黑" w:eastAsia="微软雅黑" w:cs="微软雅黑"/>
          <w:color w:val="auto"/>
          <w:sz w:val="24"/>
          <w:szCs w:val="24"/>
        </w:rPr>
        <w:t>北京三汇能环科技发展有限公司</w:t>
      </w:r>
    </w:p>
    <w:p>
      <w:pPr>
        <w:spacing w:line="48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法定代表或授权</w:t>
      </w:r>
      <w:r>
        <w:rPr>
          <w:rFonts w:hint="eastAsia" w:ascii="微软雅黑" w:hAnsi="微软雅黑" w:eastAsia="微软雅黑" w:cs="微软雅黑"/>
          <w:color w:val="000000"/>
          <w:sz w:val="24"/>
          <w:szCs w:val="24"/>
          <w:lang w:eastAsia="zh-CN"/>
        </w:rPr>
        <w:t>人：</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法定代表或授权</w:t>
      </w:r>
      <w:r>
        <w:rPr>
          <w:rFonts w:hint="eastAsia" w:ascii="微软雅黑" w:hAnsi="微软雅黑" w:eastAsia="微软雅黑" w:cs="微软雅黑"/>
          <w:color w:val="000000"/>
          <w:sz w:val="24"/>
          <w:szCs w:val="24"/>
          <w:lang w:eastAsia="zh-CN"/>
        </w:rPr>
        <w:t>人：</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000000"/>
          <w:sz w:val="24"/>
          <w:szCs w:val="24"/>
        </w:rPr>
        <w:t>地址：成都市青羊区人民中路一段28号</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地址：</w:t>
      </w:r>
      <w:r>
        <w:rPr>
          <w:rFonts w:hint="eastAsia" w:ascii="微软雅黑" w:hAnsi="微软雅黑" w:eastAsia="微软雅黑" w:cs="微软雅黑"/>
          <w:color w:val="auto"/>
          <w:sz w:val="24"/>
          <w:szCs w:val="24"/>
          <w:lang w:eastAsia="zh-CN"/>
        </w:rPr>
        <w:t>北京市丰台区南木樨园</w:t>
      </w:r>
      <w:r>
        <w:rPr>
          <w:rFonts w:hint="eastAsia" w:ascii="微软雅黑" w:hAnsi="微软雅黑" w:eastAsia="微软雅黑" w:cs="微软雅黑"/>
          <w:color w:val="auto"/>
          <w:sz w:val="24"/>
          <w:szCs w:val="24"/>
          <w:lang w:val="en-US" w:eastAsia="zh-CN"/>
        </w:rPr>
        <w:t>18号</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电话：（028）86279080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电话：</w:t>
      </w:r>
      <w:r>
        <w:rPr>
          <w:rFonts w:hint="eastAsia" w:ascii="微软雅黑" w:hAnsi="微软雅黑" w:eastAsia="微软雅黑" w:cs="微软雅黑"/>
          <w:color w:val="auto"/>
          <w:sz w:val="24"/>
          <w:szCs w:val="24"/>
          <w:lang w:val="en-US" w:eastAsia="zh-CN"/>
        </w:rPr>
        <w:t>010-52892872</w:t>
      </w:r>
    </w:p>
    <w:p>
      <w:pPr>
        <w:spacing w:line="480" w:lineRule="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联系人：吴兵</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lang w:eastAsia="zh-CN"/>
        </w:rPr>
        <w:t>联系人：</w:t>
      </w:r>
      <w:r>
        <w:rPr>
          <w:rFonts w:hint="eastAsia" w:ascii="微软雅黑" w:hAnsi="微软雅黑" w:eastAsia="微软雅黑" w:cs="微软雅黑"/>
          <w:color w:val="000000"/>
          <w:sz w:val="24"/>
          <w:szCs w:val="24"/>
        </w:rPr>
        <w:t>张昕</w:t>
      </w:r>
    </w:p>
    <w:p>
      <w:pPr>
        <w:spacing w:line="48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eastAsia="zh-CN"/>
        </w:rPr>
        <w:t>联系电话：</w:t>
      </w:r>
      <w:r>
        <w:rPr>
          <w:rFonts w:hint="eastAsia" w:ascii="微软雅黑" w:hAnsi="微软雅黑" w:eastAsia="微软雅黑" w:cs="微软雅黑"/>
          <w:color w:val="000000"/>
          <w:sz w:val="24"/>
          <w:szCs w:val="24"/>
          <w:lang w:val="en-US" w:eastAsia="zh-CN"/>
        </w:rPr>
        <w:t xml:space="preserve">13618099711                   </w:t>
      </w:r>
      <w:r>
        <w:rPr>
          <w:rFonts w:hint="eastAsia" w:ascii="微软雅黑" w:hAnsi="微软雅黑" w:eastAsia="微软雅黑" w:cs="微软雅黑"/>
          <w:color w:val="000000"/>
          <w:sz w:val="24"/>
          <w:szCs w:val="24"/>
          <w:lang w:eastAsia="zh-CN"/>
        </w:rPr>
        <w:t>联系电话：</w:t>
      </w:r>
      <w:r>
        <w:rPr>
          <w:rFonts w:hint="eastAsia" w:ascii="微软雅黑" w:hAnsi="微软雅黑" w:eastAsia="微软雅黑" w:cs="微软雅黑"/>
          <w:color w:val="000000"/>
          <w:sz w:val="24"/>
          <w:szCs w:val="24"/>
        </w:rPr>
        <w:t>15928088935</w:t>
      </w:r>
    </w:p>
    <w:p>
      <w:pPr>
        <w:pStyle w:val="14"/>
        <w:rPr>
          <w:rFonts w:hint="eastAsia" w:ascii="微软雅黑" w:hAnsi="微软雅黑" w:eastAsia="微软雅黑" w:cs="微软雅黑"/>
          <w:sz w:val="24"/>
          <w:szCs w:val="24"/>
          <w:lang w:eastAsia="zh-CN"/>
        </w:rPr>
      </w:pPr>
    </w:p>
    <w:p>
      <w:pPr>
        <w:spacing w:line="360" w:lineRule="exact"/>
        <w:ind w:left="0" w:leftChars="0" w:firstLine="0" w:firstLineChars="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eastAsia="zh-CN"/>
        </w:rPr>
        <w:t>签订日期：</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 xml:space="preserve">年   月   日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lang w:eastAsia="zh-CN"/>
        </w:rPr>
        <w:t>签订日期：</w:t>
      </w:r>
      <w:r>
        <w:rPr>
          <w:rFonts w:hint="eastAsia" w:ascii="微软雅黑" w:hAnsi="微软雅黑" w:eastAsia="微软雅黑" w:cs="微软雅黑"/>
          <w:color w:val="000000"/>
          <w:sz w:val="24"/>
          <w:szCs w:val="24"/>
        </w:rPr>
        <w:t xml:space="preserve">    年   月   日</w:t>
      </w:r>
    </w:p>
    <w:p>
      <w:pPr>
        <w:spacing w:line="520" w:lineRule="exact"/>
        <w:rPr>
          <w:rFonts w:hint="eastAsia" w:ascii="微软雅黑" w:hAnsi="微软雅黑" w:eastAsia="微软雅黑" w:cs="微软雅黑"/>
          <w:bCs/>
          <w:color w:val="000000"/>
          <w:sz w:val="24"/>
          <w:szCs w:val="24"/>
        </w:rPr>
      </w:pPr>
    </w:p>
    <w:p>
      <w:pPr>
        <w:spacing w:line="520" w:lineRule="exact"/>
        <w:rPr>
          <w:rFonts w:hint="eastAsia" w:ascii="微软雅黑" w:hAnsi="微软雅黑" w:eastAsia="微软雅黑" w:cs="微软雅黑"/>
          <w:bCs/>
          <w:color w:val="000000"/>
          <w:sz w:val="24"/>
          <w:szCs w:val="24"/>
        </w:rPr>
      </w:pPr>
    </w:p>
    <w:p>
      <w:pPr>
        <w:spacing w:line="520" w:lineRule="exact"/>
        <w:rPr>
          <w:rFonts w:hint="eastAsia" w:ascii="微软雅黑" w:hAnsi="微软雅黑" w:eastAsia="微软雅黑" w:cs="微软雅黑"/>
          <w:bCs/>
          <w:color w:val="000000"/>
          <w:sz w:val="24"/>
          <w:szCs w:val="24"/>
        </w:rPr>
      </w:pPr>
    </w:p>
    <w:p>
      <w:pPr>
        <w:spacing w:line="520" w:lineRule="exact"/>
        <w:rPr>
          <w:rFonts w:hint="eastAsia" w:ascii="微软雅黑" w:hAnsi="微软雅黑" w:eastAsia="微软雅黑" w:cs="微软雅黑"/>
          <w:bCs/>
          <w:color w:val="000000"/>
          <w:sz w:val="24"/>
          <w:szCs w:val="24"/>
        </w:rPr>
      </w:pPr>
    </w:p>
    <w:p>
      <w:pPr>
        <w:spacing w:line="520" w:lineRule="exact"/>
        <w:rPr>
          <w:rFonts w:hint="eastAsia" w:ascii="微软雅黑" w:hAnsi="微软雅黑" w:eastAsia="微软雅黑" w:cs="微软雅黑"/>
          <w:bCs/>
          <w:color w:val="000000"/>
          <w:sz w:val="24"/>
          <w:szCs w:val="24"/>
        </w:rPr>
      </w:pPr>
    </w:p>
    <w:p>
      <w:pPr>
        <w:spacing w:line="520" w:lineRule="exact"/>
        <w:rPr>
          <w:rFonts w:hint="eastAsia" w:ascii="微软雅黑" w:hAnsi="微软雅黑" w:eastAsia="微软雅黑" w:cs="微软雅黑"/>
          <w:bCs/>
          <w:color w:val="000000"/>
          <w:sz w:val="24"/>
          <w:szCs w:val="24"/>
        </w:rPr>
      </w:pPr>
    </w:p>
    <w:p>
      <w:pPr>
        <w:spacing w:line="520" w:lineRule="exact"/>
        <w:rPr>
          <w:rFonts w:hint="eastAsia" w:ascii="微软雅黑" w:hAnsi="微软雅黑" w:eastAsia="微软雅黑" w:cs="微软雅黑"/>
          <w:bCs/>
          <w:color w:val="000000"/>
          <w:sz w:val="24"/>
          <w:szCs w:val="24"/>
        </w:rPr>
      </w:pPr>
    </w:p>
    <w:p>
      <w:pPr>
        <w:spacing w:line="520" w:lineRule="exact"/>
        <w:rPr>
          <w:rFonts w:hint="eastAsia" w:ascii="微软雅黑" w:hAnsi="微软雅黑" w:eastAsia="微软雅黑" w:cs="微软雅黑"/>
          <w:bCs/>
          <w:color w:val="000000"/>
          <w:sz w:val="24"/>
          <w:szCs w:val="24"/>
        </w:rPr>
      </w:pPr>
    </w:p>
    <w:p>
      <w:pPr>
        <w:spacing w:line="520" w:lineRule="exact"/>
        <w:rPr>
          <w:rFonts w:hint="eastAsia" w:ascii="微软雅黑" w:hAnsi="微软雅黑" w:eastAsia="微软雅黑" w:cs="微软雅黑"/>
          <w:bCs/>
          <w:color w:val="000000"/>
          <w:sz w:val="24"/>
          <w:szCs w:val="24"/>
        </w:rPr>
      </w:pPr>
    </w:p>
    <w:p>
      <w:pPr>
        <w:spacing w:line="520" w:lineRule="exact"/>
        <w:rPr>
          <w:rFonts w:hint="eastAsia" w:ascii="微软雅黑" w:hAnsi="微软雅黑" w:eastAsia="微软雅黑" w:cs="微软雅黑"/>
          <w:bCs/>
          <w:color w:val="000000"/>
          <w:sz w:val="24"/>
          <w:szCs w:val="24"/>
        </w:rPr>
      </w:pPr>
    </w:p>
    <w:p>
      <w:pPr>
        <w:spacing w:line="520" w:lineRule="exact"/>
        <w:rPr>
          <w:rFonts w:hint="eastAsia" w:ascii="微软雅黑" w:hAnsi="微软雅黑" w:eastAsia="微软雅黑" w:cs="微软雅黑"/>
          <w:bCs/>
          <w:color w:val="000000"/>
          <w:sz w:val="24"/>
          <w:szCs w:val="24"/>
        </w:rPr>
      </w:pPr>
    </w:p>
    <w:p>
      <w:pPr>
        <w:spacing w:line="520" w:lineRule="exact"/>
        <w:rPr>
          <w:rFonts w:hint="eastAsia" w:ascii="微软雅黑" w:hAnsi="微软雅黑" w:eastAsia="微软雅黑" w:cs="微软雅黑"/>
          <w:bCs/>
          <w:color w:val="000000"/>
          <w:sz w:val="24"/>
          <w:szCs w:val="24"/>
        </w:rPr>
      </w:pPr>
    </w:p>
    <w:p>
      <w:pPr>
        <w:spacing w:line="520" w:lineRule="exact"/>
        <w:rPr>
          <w:rFonts w:hint="eastAsia" w:ascii="微软雅黑" w:hAnsi="微软雅黑" w:eastAsia="微软雅黑" w:cs="微软雅黑"/>
          <w:bCs/>
          <w:color w:val="000000"/>
          <w:sz w:val="24"/>
          <w:szCs w:val="24"/>
        </w:rPr>
      </w:pPr>
    </w:p>
    <w:p>
      <w:pPr>
        <w:pStyle w:val="14"/>
        <w:rPr>
          <w:rFonts w:hint="eastAsia" w:ascii="微软雅黑" w:hAnsi="微软雅黑" w:eastAsia="微软雅黑" w:cs="微软雅黑"/>
          <w:bCs/>
          <w:color w:val="000000"/>
          <w:sz w:val="24"/>
          <w:szCs w:val="24"/>
        </w:rPr>
      </w:pPr>
    </w:p>
    <w:p>
      <w:pPr>
        <w:pStyle w:val="14"/>
        <w:rPr>
          <w:rFonts w:hint="eastAsia" w:ascii="微软雅黑" w:hAnsi="微软雅黑" w:eastAsia="微软雅黑" w:cs="微软雅黑"/>
          <w:bCs/>
          <w:color w:val="000000"/>
          <w:sz w:val="24"/>
          <w:szCs w:val="24"/>
        </w:rPr>
      </w:pPr>
    </w:p>
    <w:p>
      <w:pPr>
        <w:pStyle w:val="14"/>
        <w:rPr>
          <w:rFonts w:hint="eastAsia" w:ascii="微软雅黑" w:hAnsi="微软雅黑" w:eastAsia="微软雅黑" w:cs="微软雅黑"/>
          <w:bCs/>
          <w:color w:val="000000"/>
          <w:sz w:val="24"/>
          <w:szCs w:val="24"/>
        </w:rPr>
      </w:pPr>
    </w:p>
    <w:p>
      <w:pPr>
        <w:spacing w:line="520" w:lineRule="exact"/>
        <w:rPr>
          <w:rFonts w:hint="eastAsia" w:ascii="微软雅黑" w:hAnsi="微软雅黑" w:eastAsia="微软雅黑" w:cs="微软雅黑"/>
          <w:bCs/>
          <w:color w:val="000000"/>
          <w:sz w:val="24"/>
          <w:szCs w:val="24"/>
        </w:rPr>
      </w:pPr>
      <w:r>
        <w:rPr>
          <w:rFonts w:hint="eastAsia" w:ascii="微软雅黑" w:hAnsi="微软雅黑" w:eastAsia="微软雅黑" w:cs="微软雅黑"/>
          <w:bCs/>
          <w:color w:val="000000"/>
          <w:sz w:val="24"/>
          <w:szCs w:val="24"/>
        </w:rPr>
        <w:t>附件1</w:t>
      </w:r>
    </w:p>
    <w:p>
      <w:pPr>
        <w:spacing w:line="52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乙方维护保养承诺</w:t>
      </w:r>
    </w:p>
    <w:p>
      <w:pPr>
        <w:spacing w:line="520" w:lineRule="exact"/>
        <w:ind w:left="448" w:hanging="480" w:hangingChars="200"/>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定期检查，乙方配备</w:t>
      </w:r>
      <w:r>
        <w:rPr>
          <w:rFonts w:hint="eastAsia" w:ascii="微软雅黑" w:hAnsi="微软雅黑" w:eastAsia="微软雅黑" w:cs="微软雅黑"/>
          <w:sz w:val="24"/>
          <w:szCs w:val="24"/>
          <w:lang w:eastAsia="zh-CN"/>
        </w:rPr>
        <w:t>具</w:t>
      </w:r>
      <w:r>
        <w:rPr>
          <w:rFonts w:hint="eastAsia" w:ascii="微软雅黑" w:hAnsi="微软雅黑" w:eastAsia="微软雅黑" w:cs="微软雅黑"/>
          <w:sz w:val="24"/>
          <w:szCs w:val="24"/>
        </w:rPr>
        <w:t>有相关资质的服务专业工程师每月对甲方直燃型冷热水机组进行</w:t>
      </w:r>
      <w:r>
        <w:rPr>
          <w:rFonts w:hint="eastAsia" w:ascii="微软雅黑" w:hAnsi="微软雅黑" w:eastAsia="微软雅黑" w:cs="微软雅黑"/>
          <w:sz w:val="24"/>
          <w:szCs w:val="24"/>
          <w:u w:val="single"/>
        </w:rPr>
        <w:t>1次</w:t>
      </w:r>
      <w:r>
        <w:rPr>
          <w:rFonts w:hint="eastAsia" w:ascii="微软雅黑" w:hAnsi="微软雅黑" w:eastAsia="微软雅黑" w:cs="微软雅黑"/>
          <w:sz w:val="24"/>
          <w:szCs w:val="24"/>
        </w:rPr>
        <w:t>定期检查和维护保养，时间为</w:t>
      </w:r>
      <w:r>
        <w:rPr>
          <w:rFonts w:hint="eastAsia" w:ascii="微软雅黑" w:hAnsi="微软雅黑" w:eastAsia="微软雅黑" w:cs="微软雅黑"/>
          <w:sz w:val="24"/>
          <w:szCs w:val="24"/>
          <w:u w:val="single"/>
        </w:rPr>
        <w:t>1</w:t>
      </w:r>
      <w:r>
        <w:rPr>
          <w:rFonts w:hint="eastAsia" w:ascii="微软雅黑" w:hAnsi="微软雅黑" w:eastAsia="微软雅黑" w:cs="微软雅黑"/>
          <w:sz w:val="24"/>
          <w:szCs w:val="24"/>
        </w:rPr>
        <w:t>个工作日（八个小时），维护保养内容参见</w:t>
      </w:r>
      <w:r>
        <w:rPr>
          <w:rFonts w:hint="eastAsia" w:ascii="微软雅黑" w:hAnsi="微软雅黑" w:eastAsia="微软雅黑" w:cs="微软雅黑"/>
          <w:bCs/>
          <w:color w:val="000000"/>
          <w:sz w:val="24"/>
          <w:szCs w:val="24"/>
        </w:rPr>
        <w:t>附件2</w:t>
      </w:r>
      <w:r>
        <w:rPr>
          <w:rFonts w:hint="eastAsia" w:ascii="微软雅黑" w:hAnsi="微软雅黑" w:eastAsia="微软雅黑" w:cs="微软雅黑"/>
          <w:color w:val="000000"/>
          <w:sz w:val="24"/>
          <w:szCs w:val="24"/>
        </w:rPr>
        <w:t>；</w:t>
      </w:r>
    </w:p>
    <w:p>
      <w:pPr>
        <w:spacing w:line="520" w:lineRule="exact"/>
        <w:ind w:left="448"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合同期间</w:t>
      </w:r>
      <w:r>
        <w:rPr>
          <w:rFonts w:hint="eastAsia" w:ascii="微软雅黑" w:hAnsi="微软雅黑" w:eastAsia="微软雅黑" w:cs="微软雅黑"/>
          <w:sz w:val="24"/>
          <w:szCs w:val="24"/>
          <w:lang w:val="en-US" w:eastAsia="zh-CN"/>
        </w:rPr>
        <w:t>年度</w:t>
      </w:r>
      <w:r>
        <w:rPr>
          <w:rFonts w:hint="eastAsia" w:ascii="微软雅黑" w:hAnsi="微软雅黑" w:eastAsia="微软雅黑" w:cs="微软雅黑"/>
          <w:sz w:val="24"/>
          <w:szCs w:val="24"/>
        </w:rPr>
        <w:t>维护保养</w:t>
      </w:r>
      <w:r>
        <w:rPr>
          <w:rFonts w:hint="eastAsia" w:ascii="微软雅黑" w:hAnsi="微软雅黑" w:eastAsia="微软雅黑" w:cs="微软雅黑"/>
          <w:bCs/>
          <w:sz w:val="24"/>
          <w:szCs w:val="24"/>
        </w:rPr>
        <w:t>2</w:t>
      </w:r>
      <w:r>
        <w:rPr>
          <w:rFonts w:hint="eastAsia" w:ascii="微软雅黑" w:hAnsi="微软雅黑" w:eastAsia="微软雅黑" w:cs="微软雅黑"/>
          <w:sz w:val="24"/>
          <w:szCs w:val="24"/>
        </w:rPr>
        <w:t>次，制冷\制热运行前（停机检修期间），乙方专业工程师对本合同约定的直燃型冷热水机组进行每次为期</w:t>
      </w:r>
      <w:r>
        <w:rPr>
          <w:rFonts w:hint="eastAsia" w:ascii="微软雅黑" w:hAnsi="微软雅黑" w:eastAsia="微软雅黑" w:cs="微软雅黑"/>
          <w:sz w:val="24"/>
          <w:szCs w:val="24"/>
          <w:u w:val="single"/>
        </w:rPr>
        <w:t>5</w:t>
      </w:r>
      <w:r>
        <w:rPr>
          <w:rFonts w:hint="eastAsia" w:ascii="微软雅黑" w:hAnsi="微软雅黑" w:eastAsia="微软雅黑" w:cs="微软雅黑"/>
          <w:sz w:val="24"/>
          <w:szCs w:val="24"/>
        </w:rPr>
        <w:t>天的年度维护，每天共计8小时，维护保养内容参见</w:t>
      </w:r>
      <w:r>
        <w:rPr>
          <w:rFonts w:hint="eastAsia" w:ascii="微软雅黑" w:hAnsi="微软雅黑" w:eastAsia="微软雅黑" w:cs="微软雅黑"/>
          <w:bCs/>
          <w:color w:val="000000"/>
          <w:sz w:val="24"/>
          <w:szCs w:val="24"/>
        </w:rPr>
        <w:t>附件3</w:t>
      </w:r>
      <w:r>
        <w:rPr>
          <w:rFonts w:hint="eastAsia" w:ascii="微软雅黑" w:hAnsi="微软雅黑" w:eastAsia="微软雅黑" w:cs="微软雅黑"/>
          <w:sz w:val="24"/>
          <w:szCs w:val="24"/>
        </w:rPr>
        <w:t>；</w:t>
      </w:r>
    </w:p>
    <w:p>
      <w:pPr>
        <w:spacing w:line="520" w:lineRule="exact"/>
        <w:ind w:left="448"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溴化锂</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水</w:t>
      </w:r>
      <w:r>
        <w:rPr>
          <w:rFonts w:hint="eastAsia" w:ascii="微软雅黑" w:hAnsi="微软雅黑" w:eastAsia="微软雅黑" w:cs="微软雅黑"/>
          <w:sz w:val="24"/>
          <w:szCs w:val="24"/>
          <w:lang w:eastAsia="zh-CN"/>
        </w:rPr>
        <w:t>质</w:t>
      </w:r>
      <w:r>
        <w:rPr>
          <w:rFonts w:hint="eastAsia" w:ascii="微软雅黑" w:hAnsi="微软雅黑" w:eastAsia="微软雅黑" w:cs="微软雅黑"/>
          <w:sz w:val="24"/>
          <w:szCs w:val="24"/>
        </w:rPr>
        <w:t>分析，乙方专业工程师在制</w:t>
      </w:r>
      <w:r>
        <w:rPr>
          <w:rFonts w:hint="eastAsia" w:ascii="微软雅黑" w:hAnsi="微软雅黑" w:eastAsia="微软雅黑" w:cs="微软雅黑"/>
          <w:sz w:val="24"/>
          <w:szCs w:val="24"/>
          <w:lang w:eastAsia="zh-CN"/>
        </w:rPr>
        <w:t>冷</w:t>
      </w:r>
      <w:r>
        <w:rPr>
          <w:rFonts w:hint="eastAsia" w:ascii="微软雅黑" w:hAnsi="微软雅黑" w:eastAsia="微软雅黑" w:cs="微软雅黑"/>
          <w:sz w:val="24"/>
          <w:szCs w:val="24"/>
          <w:lang w:val="en-US" w:eastAsia="zh-CN"/>
        </w:rPr>
        <w:t>、制</w:t>
      </w:r>
      <w:r>
        <w:rPr>
          <w:rFonts w:hint="eastAsia" w:ascii="微软雅黑" w:hAnsi="微软雅黑" w:eastAsia="微软雅黑" w:cs="微软雅黑"/>
          <w:sz w:val="24"/>
          <w:szCs w:val="24"/>
        </w:rPr>
        <w:t>热停机检修期间</w:t>
      </w:r>
      <w:r>
        <w:rPr>
          <w:rFonts w:hint="eastAsia" w:ascii="微软雅黑" w:hAnsi="微软雅黑" w:eastAsia="微软雅黑" w:cs="微软雅黑"/>
          <w:sz w:val="24"/>
          <w:szCs w:val="24"/>
          <w:lang w:eastAsia="zh-CN"/>
        </w:rPr>
        <w:t>各</w:t>
      </w:r>
      <w:r>
        <w:rPr>
          <w:rFonts w:hint="eastAsia" w:ascii="微软雅黑" w:hAnsi="微软雅黑" w:eastAsia="微软雅黑" w:cs="微软雅黑"/>
          <w:sz w:val="24"/>
          <w:szCs w:val="24"/>
        </w:rPr>
        <w:t>进行</w:t>
      </w:r>
      <w:r>
        <w:rPr>
          <w:rFonts w:hint="eastAsia" w:ascii="微软雅黑" w:hAnsi="微软雅黑" w:eastAsia="微软雅黑" w:cs="微软雅黑"/>
          <w:bCs/>
          <w:sz w:val="24"/>
          <w:szCs w:val="24"/>
        </w:rPr>
        <w:t>1</w:t>
      </w:r>
      <w:r>
        <w:rPr>
          <w:rFonts w:hint="eastAsia" w:ascii="微软雅黑" w:hAnsi="微软雅黑" w:eastAsia="微软雅黑" w:cs="微软雅黑"/>
          <w:sz w:val="24"/>
          <w:szCs w:val="24"/>
        </w:rPr>
        <w:t>次溴化锂</w:t>
      </w:r>
      <w:r>
        <w:rPr>
          <w:rFonts w:hint="eastAsia" w:ascii="微软雅黑" w:hAnsi="微软雅黑" w:eastAsia="微软雅黑" w:cs="微软雅黑"/>
          <w:sz w:val="24"/>
          <w:szCs w:val="24"/>
          <w:lang w:eastAsia="zh-CN"/>
        </w:rPr>
        <w:t>和</w:t>
      </w:r>
      <w:r>
        <w:rPr>
          <w:rFonts w:hint="eastAsia" w:ascii="微软雅黑" w:hAnsi="微软雅黑" w:eastAsia="微软雅黑" w:cs="微软雅黑"/>
          <w:sz w:val="24"/>
          <w:szCs w:val="24"/>
        </w:rPr>
        <w:t>水</w:t>
      </w:r>
      <w:r>
        <w:rPr>
          <w:rFonts w:hint="eastAsia" w:ascii="微软雅黑" w:hAnsi="微软雅黑" w:eastAsia="微软雅黑" w:cs="微软雅黑"/>
          <w:sz w:val="24"/>
          <w:szCs w:val="24"/>
          <w:lang w:eastAsia="zh-CN"/>
        </w:rPr>
        <w:t>质</w:t>
      </w:r>
      <w:r>
        <w:rPr>
          <w:rFonts w:hint="eastAsia" w:ascii="微软雅黑" w:hAnsi="微软雅黑" w:eastAsia="微软雅黑" w:cs="微软雅黑"/>
          <w:sz w:val="24"/>
          <w:szCs w:val="24"/>
        </w:rPr>
        <w:t>分析</w:t>
      </w:r>
      <w:r>
        <w:rPr>
          <w:rFonts w:hint="eastAsia" w:ascii="微软雅黑" w:hAnsi="微软雅黑" w:eastAsia="微软雅黑" w:cs="微软雅黑"/>
          <w:sz w:val="24"/>
          <w:szCs w:val="24"/>
          <w:lang w:eastAsia="zh-CN"/>
        </w:rPr>
        <w:t>并出具报告</w:t>
      </w:r>
      <w:r>
        <w:rPr>
          <w:rFonts w:hint="eastAsia" w:ascii="微软雅黑" w:hAnsi="微软雅黑" w:eastAsia="微软雅黑" w:cs="微软雅黑"/>
          <w:sz w:val="24"/>
          <w:szCs w:val="24"/>
        </w:rPr>
        <w:t>，内容参见</w:t>
      </w:r>
      <w:r>
        <w:rPr>
          <w:rFonts w:hint="eastAsia" w:ascii="微软雅黑" w:hAnsi="微软雅黑" w:eastAsia="微软雅黑" w:cs="微软雅黑"/>
          <w:bCs/>
          <w:color w:val="000000"/>
          <w:sz w:val="24"/>
          <w:szCs w:val="24"/>
        </w:rPr>
        <w:t>附件4</w:t>
      </w:r>
      <w:r>
        <w:rPr>
          <w:rFonts w:hint="eastAsia" w:ascii="微软雅黑" w:hAnsi="微软雅黑" w:eastAsia="微软雅黑" w:cs="微软雅黑"/>
          <w:sz w:val="24"/>
          <w:szCs w:val="24"/>
        </w:rPr>
        <w:t>；</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总体维护保养约定；</w:t>
      </w:r>
    </w:p>
    <w:p>
      <w:pPr>
        <w:spacing w:line="520" w:lineRule="exact"/>
        <w:ind w:left="336" w:hanging="360" w:hanging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a. 乙方服务专业工程师负责指导甲方人员正确使用和维护直燃型冷热水机组；</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b.</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除校正服务之外，定期维护服务应按照附件2中所述内容进行；</w:t>
      </w:r>
    </w:p>
    <w:p>
      <w:pPr>
        <w:spacing w:line="520" w:lineRule="exact"/>
        <w:ind w:left="336" w:hanging="360" w:hanging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如果甲方在没有提前通知乙方的情况下改变设备的所有权属关系或对设备进行移机，乙方有权提前15天通知甲方中止维护保养合同并对原合同不再承担任何责任；</w:t>
      </w:r>
    </w:p>
    <w:p>
      <w:pPr>
        <w:spacing w:line="520" w:lineRule="exact"/>
        <w:ind w:left="224" w:hanging="240" w:hanging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d.</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甲方应负责清除影响乙方服务工程师进行维护保养工作的障碍物，（如墙壁，屋顶）乙方须协助；</w:t>
      </w:r>
    </w:p>
    <w:p>
      <w:pPr>
        <w:spacing w:line="520" w:lineRule="exact"/>
        <w:ind w:left="320" w:hanging="240" w:hanging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e.乙方服务工程师在定期维护中将出具一份《维护保养报告》，此份报告应由甲方指定代表进行签字确认，作为乙方服务工程师进行维护保养工作的书面凭证;</w:t>
      </w:r>
    </w:p>
    <w:p>
      <w:pPr>
        <w:spacing w:line="520" w:lineRule="exact"/>
        <w:ind w:left="224" w:hanging="240" w:hanging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f.因不可抗力，乙方服务工程师无法按时到达甲方所在地对设备进行维护保养工作，因而导致设备受到损失或破坏，乙方对此将不承担任何责任，乙方应当依法提供不可抗力证明；</w:t>
      </w:r>
    </w:p>
    <w:p>
      <w:pPr>
        <w:spacing w:line="520" w:lineRule="exact"/>
        <w:ind w:left="320" w:hanging="240" w:hanging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g.机组停机期间冷热切换，乙方保证提供冷暖切换模式工作的顺利进行，共</w:t>
      </w:r>
      <w:r>
        <w:rPr>
          <w:rFonts w:hint="eastAsia" w:ascii="微软雅黑" w:hAnsi="微软雅黑" w:eastAsia="微软雅黑" w:cs="微软雅黑"/>
          <w:bCs/>
          <w:sz w:val="24"/>
          <w:szCs w:val="24"/>
        </w:rPr>
        <w:t xml:space="preserve"> 2</w:t>
      </w:r>
      <w:r>
        <w:rPr>
          <w:rFonts w:hint="eastAsia" w:ascii="微软雅黑" w:hAnsi="微软雅黑" w:eastAsia="微软雅黑" w:cs="微软雅黑"/>
          <w:sz w:val="24"/>
          <w:szCs w:val="24"/>
        </w:rPr>
        <w:t>次，每次2天。</w:t>
      </w:r>
    </w:p>
    <w:p>
      <w:pPr>
        <w:spacing w:line="520" w:lineRule="exact"/>
        <w:rPr>
          <w:rFonts w:hint="eastAsia" w:ascii="微软雅黑" w:hAnsi="微软雅黑" w:eastAsia="微软雅黑" w:cs="微软雅黑"/>
          <w:sz w:val="24"/>
          <w:szCs w:val="24"/>
        </w:rPr>
      </w:pPr>
    </w:p>
    <w:p>
      <w:pPr>
        <w:spacing w:line="520" w:lineRule="exact"/>
        <w:rPr>
          <w:rFonts w:hint="eastAsia" w:ascii="微软雅黑" w:hAnsi="微软雅黑" w:eastAsia="微软雅黑" w:cs="微软雅黑"/>
          <w:sz w:val="24"/>
          <w:szCs w:val="24"/>
        </w:rPr>
      </w:pPr>
    </w:p>
    <w:p>
      <w:pPr>
        <w:spacing w:line="520" w:lineRule="exact"/>
        <w:rPr>
          <w:rFonts w:hint="eastAsia" w:ascii="微软雅黑" w:hAnsi="微软雅黑" w:eastAsia="微软雅黑" w:cs="微软雅黑"/>
          <w:sz w:val="24"/>
          <w:szCs w:val="24"/>
        </w:rPr>
      </w:pPr>
    </w:p>
    <w:p>
      <w:pPr>
        <w:spacing w:line="520" w:lineRule="exact"/>
        <w:rPr>
          <w:rFonts w:hint="eastAsia" w:ascii="微软雅黑" w:hAnsi="微软雅黑" w:eastAsia="微软雅黑" w:cs="微软雅黑"/>
          <w:sz w:val="24"/>
          <w:szCs w:val="24"/>
        </w:rPr>
      </w:pP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附件2</w:t>
      </w:r>
    </w:p>
    <w:p>
      <w:pPr>
        <w:spacing w:line="52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定期检查范围</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每次定期(</w:t>
      </w:r>
      <w:r>
        <w:rPr>
          <w:rFonts w:hint="eastAsia" w:ascii="微软雅黑" w:hAnsi="微软雅黑" w:eastAsia="微软雅黑" w:cs="微软雅黑"/>
          <w:b w:val="0"/>
          <w:bCs/>
          <w:sz w:val="24"/>
          <w:szCs w:val="24"/>
          <w:u w:val="single"/>
        </w:rPr>
        <w:t>每月</w:t>
      </w:r>
      <w:r>
        <w:rPr>
          <w:rFonts w:hint="eastAsia" w:ascii="微软雅黑" w:hAnsi="微软雅黑" w:eastAsia="微软雅黑" w:cs="微软雅黑"/>
          <w:sz w:val="24"/>
          <w:szCs w:val="24"/>
        </w:rPr>
        <w:t>)检查维护保养均需按下列内容进行：</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 真空</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真空泵抽取的最大真空度（4mmHg）；</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储气罐的真空度(＜50mmHg）；</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管壳真空度(60mmHg)；</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任何目测泄漏(760mmHg)；</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如果真空泵有污染情况发生，须清洗掉真空压力计的油污。</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B. 燃料</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发生器温度和压力(≤160℃/＜0bar)；</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燃料进口温度和压力(5kpa)；</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烟气温度(≤250℃)；</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检查燃料过滤器；</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安全设施和仪器；</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冰水温度控制器/PLC运转情况；</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发生器温度控制器运转情况；</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冰水泵联锁运转情况；</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冷却水泵联锁运转情况；</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烟气温度控制器运转情况；</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防冻热敏电阻运转情况；</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L-切断操作的制冷泵运转情况；</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制冷剂水平继电器+电极的运转情况；</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吸收式水平继电器+电极运转情况；</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冰水流量开关和D.P.开关的运转情况；</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检查任何松懈情况；</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吸收泵的轴承状态；</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制冷剂泵的轴承情况；</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吸收泵、制冷泵和排气泵实际电流；</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燃烧器的实际流量。</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C. 操作性</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冰水进口温度(12℃)；</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冰水出口温度(≥7℃)；</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冰水进口压力(0.8Mpa,不得高于1.2 Mpa)；</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冰水出口压力(0.7Mpa,不得高于1.2 Mpa)；</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冰水流量(50-60﹪，470M3/h)；</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冷却水进口温度（≥22℃＜32℃）；</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冷却水出口温度（≤36℃）；</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冷却水进口压力（0.8Mpa）；</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冷却水出口压力（0.75Mpa）；</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燃料供应压强(7.6-7.8kpa)；</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制冷剂污染级别(＜1.04)；</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制冷剂温度（U型管）；</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LTHE温度曲线；</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充入辛基醇化物；</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充入防腐剂；</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蒸发器内制冷剂喷射状态；</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吸收泵压；</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蒸发器、吸收器和发生器的流体水平；</w:t>
      </w:r>
    </w:p>
    <w:p>
      <w:pPr>
        <w:spacing w:line="52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清洁燃料过滤器，喷嘴，扩散器和电极。</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附件3</w:t>
      </w:r>
    </w:p>
    <w:p>
      <w:pPr>
        <w:spacing w:line="52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年度维护保养范围</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在年度维护保养中，乙方服务工程师将进行以下检查：</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观测蒸发器盘管；</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观测吸收器和冷凝器盘管的状态；</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对吸收器和冷凝器盘管进行机械清洁；</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观测HTG中的盘管；</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拧紧液视镜的螺栓；</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去除真空压力计的液体；</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过滤溴化锂溶液（甲方重新充入的溴化锂费用另计）；</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清洁冰水温度传感器；</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清洁流量计开关阀门；</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拆卸和清洗真空泵；</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清洗电气接触器；</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对蒸发器盘管进行加热除脂；</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置换排气单元的隔板（隔板由甲方供应）；</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充入氮气；</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对不良品进行更换；</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检验仪器；</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进行检漏测试；</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清洁燃料过滤器，喷嘴，扩散器和电极；</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清洁发生器温度传感器；</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清洁烟气温度传感器；</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测试各种安全设施和控制器：</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1）冰水防冻热敏电阻；</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2）冰水流量开关和D.P.开关；</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3）发生器温度控制器；</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4）制冷泵L切割；</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5）容量控制回路；</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6）蒸汽控制阀门/燃烧器系统/PLC运转情况；</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7）泵水平继电器+电极；</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8）制冷泵水平继电器+电极；</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9）烟气温度控制器；</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10）火焰传感器；</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11）顺序控制器；</w:t>
      </w:r>
    </w:p>
    <w:p>
      <w:pPr>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12）炉膛清理。</w:t>
      </w:r>
    </w:p>
    <w:p>
      <w:pPr>
        <w:spacing w:line="520" w:lineRule="exact"/>
        <w:rPr>
          <w:rFonts w:hint="eastAsia" w:ascii="微软雅黑" w:hAnsi="微软雅黑" w:eastAsia="微软雅黑" w:cs="微软雅黑"/>
          <w:bCs/>
          <w:sz w:val="24"/>
          <w:szCs w:val="24"/>
        </w:rPr>
      </w:pPr>
    </w:p>
    <w:p>
      <w:pPr>
        <w:spacing w:line="520" w:lineRule="exac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附件4</w:t>
      </w:r>
    </w:p>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维护保养要求</w:t>
      </w:r>
    </w:p>
    <w:p>
      <w:pPr>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1.维保的必要性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溴化锂制冷机使用一段时间之后，机组的密封元件(橡胶等)出现老化,造成密封不严,机组漏气容易进入氧气,形成腐蚀，电器元件老化,造成漏电,误动作甚至烧毁显示屏,程序控制器等元件；机组铜管腐蚀和结垢,造成铜管破裂和传热效果下降，溴化锂溶液发生质变对机组形成腐蚀，所以必须对机组进行每年二次维护保养，以保证机组高效安全的运行,防止故障的发生,延长机组的使用寿命。</w:t>
      </w:r>
    </w:p>
    <w:p>
      <w:pP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2.整机整体维保要求</w:t>
      </w:r>
    </w:p>
    <w:p>
      <w:pPr>
        <w:numPr>
          <w:ilvl w:val="0"/>
          <w:numId w:val="0"/>
        </w:numPr>
        <w:ind w:left="6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机组气密性检查：用减压表和氧气带，往机组内腔充氮气0.7±5℅Kg，正压保压24小时，泄漏不超过0.5mmHg；</w:t>
      </w:r>
    </w:p>
    <w:p>
      <w:pPr>
        <w:numPr>
          <w:ilvl w:val="0"/>
          <w:numId w:val="0"/>
        </w:numPr>
        <w:ind w:left="6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机组设定参数调整：如冷媒水出水低温保护设定、冷却水高温报警设定、高发高压报警设定、高发溶液温度高温报警设定等；</w:t>
      </w:r>
    </w:p>
    <w:p>
      <w:pPr>
        <w:numPr>
          <w:ilvl w:val="0"/>
          <w:numId w:val="0"/>
        </w:numPr>
        <w:ind w:left="6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时间继电器设定调整：设定时间继电器延时时间，使设备在适当时间内启动；</w:t>
      </w:r>
    </w:p>
    <w:p>
      <w:pPr>
        <w:numPr>
          <w:ilvl w:val="0"/>
          <w:numId w:val="0"/>
        </w:numPr>
        <w:ind w:left="6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热继电器设定调整：主要有真空泵热继电器、溶液泵热继电器、冷剂泵热继电器，主要设定延时时间，检测热继电器接触是否良好，保护是否正常；</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温度控制器调整：修正温度控制器温度偏差，使其与实际相符；</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压力控制器参数调整：调整机组各部的报警压力；</w:t>
      </w:r>
    </w:p>
    <w:p>
      <w:pPr>
        <w:numPr>
          <w:ilvl w:val="0"/>
          <w:numId w:val="0"/>
        </w:numPr>
        <w:ind w:left="6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压力表检查：检查（用同类合格压力表）压力表（特别是真空压力表）是否显示正常，不正常的更换；</w:t>
      </w:r>
    </w:p>
    <w:p>
      <w:pPr>
        <w:numPr>
          <w:ilvl w:val="0"/>
          <w:numId w:val="0"/>
        </w:numPr>
        <w:ind w:left="6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炉膛清理：机组以气为能源，长时间燃烧会积聚很多碳及其他废物，碳及其他废物会堵塞烟管，从而影响正常燃烧，影响高发溶液加热，影响制冷和采暖效果，导致能耗增加：</w:t>
      </w:r>
    </w:p>
    <w:p>
      <w:pPr>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a 拆开高发炉膛两端盖；</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b抽出烟管波纹条并清理；</w:t>
      </w:r>
    </w:p>
    <w:p>
      <w:pPr>
        <w:ind w:left="479" w:leftChars="114" w:hanging="240" w:hangingChars="1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c用铁刷和轴连接，清刷烟管内测，然后用吸尘器清理污垢</w:t>
      </w:r>
      <w:r>
        <w:rPr>
          <w:rFonts w:hint="eastAsia" w:ascii="微软雅黑" w:hAnsi="微软雅黑" w:eastAsia="微软雅黑" w:cs="微软雅黑"/>
          <w:sz w:val="24"/>
          <w:szCs w:val="24"/>
          <w:lang w:eastAsia="zh-CN"/>
        </w:rPr>
        <w:t>；</w:t>
      </w:r>
    </w:p>
    <w:p>
      <w:pPr>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d装上波纹条并用铁丝穿连（以防燃烧时将其吹出烟管，达不到节能效果）波纹条前端；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e清除高发两端板上的石棉密封绳；</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F</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用厚白漆粘石棉密封绳，将两端板装上。</w:t>
      </w:r>
    </w:p>
    <w:p>
      <w:pP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3.机组保护装置维保要求</w:t>
      </w:r>
    </w:p>
    <w:p>
      <w:pPr>
        <w:ind w:left="72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水靶流保护装置检修：冷温水温度保护装置、冷却水靶流保护装置检修，检查靶流开关动作是否灵活，断水实验是否报警，根据检查、实验结果，决定是否更换靶流开关；</w:t>
      </w:r>
    </w:p>
    <w:p>
      <w:pPr>
        <w:ind w:left="96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高发超温保护装置检修：检查高发温度探头是否失灵，显示温度是否准确，接线是否牢固，根据检查结果决定是否更换温度探头；</w:t>
      </w:r>
    </w:p>
    <w:p>
      <w:pPr>
        <w:ind w:left="96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高发压力控制器检修：检查高发安全阀片是否正常，决定是否更换膜片；</w:t>
      </w:r>
    </w:p>
    <w:p>
      <w:pPr>
        <w:ind w:left="96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高发液位、冷剂液位保护检修：检修液位探头，确保线头连接牢固，传感液位信号准确；</w:t>
      </w:r>
    </w:p>
    <w:p>
      <w:pPr>
        <w:ind w:left="96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屏蔽泵绝缘检修：检查屏蔽泵接线，绝缘是否良好，运行温度温度是否正常。</w:t>
      </w:r>
    </w:p>
    <w:p>
      <w:pPr>
        <w:ind w:firstLine="240" w:firstLineChars="1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自动调节性能维保要求</w:t>
      </w:r>
    </w:p>
    <w:p>
      <w:pPr>
        <w:ind w:left="672"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机组负荷自动调节性能检修：机组负荷性能自动调节主要根据机组低温保护自动停机、燃烧机大、小火等进行调节，因此要检查燃烧机进行调节，调节溶液阀、冷剂阀，使其达到最佳效果；</w:t>
      </w:r>
    </w:p>
    <w:p>
      <w:pPr>
        <w:ind w:left="840" w:hanging="840" w:hangingChars="35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高发液位自动调节检修：高发液位是通过液位探头进行控制，检查是否有假液位现象，如有假液位现象，拆下探头进行清洗，清洗干净后用螺纹胶密封并调节探头位置；</w:t>
      </w:r>
    </w:p>
    <w:p>
      <w:pPr>
        <w:ind w:left="840" w:hanging="840" w:hangingChars="35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冷却塔风机自动控制检修（主机部分）：对与机组联动的冷却塔风机控制部分进行灵敏度进行检查，控制器件是否完好；</w:t>
      </w:r>
    </w:p>
    <w:p>
      <w:pPr>
        <w:ind w:left="448"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冷剂液位自动调节检修：此项与“液位自动调节检修”一样。</w:t>
      </w:r>
    </w:p>
    <w:p>
      <w:pPr>
        <w:ind w:left="448" w:hanging="480" w:hanging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5．机组性能调节维保要求</w:t>
      </w:r>
    </w:p>
    <w:p>
      <w:pPr>
        <w:ind w:left="72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溶液循环阀、冷剂喷淋调节：根据高发液位、冷剂水箱液位、制冷温度等调节溶液阀、冷剂水，使溶液、冷剂水循环适度；</w:t>
      </w:r>
    </w:p>
    <w:p>
      <w:pPr>
        <w:ind w:left="72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溶液浓度调节：直燃机溶液浓度混合溶液一般为53%--55%，抽机组溶液检测浓度，如浓度较低，就抽冷剂水，抽多少冷剂水就加多少升溶液，如浓度较高，就加冷剂水；</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溶液定期取样分析（</w:t>
      </w: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color w:val="auto"/>
          <w:sz w:val="24"/>
          <w:szCs w:val="24"/>
        </w:rPr>
        <w:t>次</w:t>
      </w:r>
      <w:r>
        <w:rPr>
          <w:rFonts w:hint="eastAsia" w:ascii="微软雅黑" w:hAnsi="微软雅黑" w:eastAsia="微软雅黑" w:cs="微软雅黑"/>
          <w:sz w:val="24"/>
          <w:szCs w:val="24"/>
        </w:rPr>
        <w:t>）：（原化工部制冷用溴化锂溶液标准）；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3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       目</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原化工部标准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溴化锂含量（%）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≥50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PH值</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9</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10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铬酸锂含量（%）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2-0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氯化物含量（%）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硫酸盐含量（%）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铵盐含量  （%）</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溴酸盐含量（%）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钾和钠含量（%）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钙含量    （%）</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镁含量    （%）</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铁含量    （%）</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碳酸盐含量（%）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04</w:t>
            </w:r>
          </w:p>
        </w:tc>
      </w:tr>
    </w:tbl>
    <w:p>
      <w:p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color w:val="auto"/>
          <w:sz w:val="24"/>
          <w:szCs w:val="24"/>
        </w:rPr>
        <w:t>冷剂水污染分析：取冷剂水样测其浓度应低</w:t>
      </w:r>
      <w:r>
        <w:rPr>
          <w:rFonts w:hint="eastAsia" w:ascii="微软雅黑" w:hAnsi="微软雅黑" w:eastAsia="微软雅黑" w:cs="微软雅黑"/>
          <w:b w:val="0"/>
          <w:bCs w:val="0"/>
          <w:color w:val="auto"/>
          <w:sz w:val="24"/>
          <w:szCs w:val="24"/>
        </w:rPr>
        <w:t>于</w:t>
      </w:r>
      <w:r>
        <w:rPr>
          <w:rFonts w:hint="eastAsia" w:ascii="微软雅黑" w:hAnsi="微软雅黑" w:eastAsia="微软雅黑" w:cs="微软雅黑"/>
          <w:b w:val="0"/>
          <w:bCs w:val="0"/>
          <w:color w:val="auto"/>
          <w:sz w:val="24"/>
          <w:szCs w:val="24"/>
          <w:u w:val="single"/>
        </w:rPr>
        <w:t>1.04</w:t>
      </w:r>
      <w:r>
        <w:rPr>
          <w:rFonts w:hint="eastAsia" w:ascii="微软雅黑" w:hAnsi="微软雅黑" w:eastAsia="微软雅黑" w:cs="微软雅黑"/>
          <w:b w:val="0"/>
          <w:bCs w:val="0"/>
          <w:color w:val="auto"/>
          <w:sz w:val="24"/>
          <w:szCs w:val="24"/>
        </w:rPr>
        <w:t>。</w:t>
      </w:r>
    </w:p>
    <w:p>
      <w:pPr>
        <w:numPr>
          <w:ilvl w:val="0"/>
          <w:numId w:val="3"/>
        </w:numPr>
        <w:ind w:left="337" w:hanging="360" w:hangingChars="15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电控柜维保要求</w:t>
      </w:r>
    </w:p>
    <w:p>
      <w:pPr>
        <w:ind w:left="-315" w:left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绝缘检修、清灰除尘、紧固接线端子、电源接地检修、指示灯检修。</w:t>
      </w:r>
    </w:p>
    <w:p>
      <w:pPr>
        <w:numPr>
          <w:ilvl w:val="0"/>
          <w:numId w:val="3"/>
        </w:numPr>
        <w:ind w:left="360" w:leftChars="0" w:hanging="360" w:hangingChars="15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真空泵维保要求</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（1）传动带松紧调整；</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 xml:space="preserve">）电机绝缘检修；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）泵腔清洗。</w:t>
      </w:r>
    </w:p>
    <w:p>
      <w:pP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8．燃烧机调节维保要求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（1）燃烧头位置调节；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（2）风门位置调节；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（3）排烟成分检测；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（4）燃烧效率分析。</w:t>
      </w:r>
    </w:p>
    <w:p>
      <w:pP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9．燃烧机维保要求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（1）过滤器清洗检漏；</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（2）火焰检测器清理；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（3）点火电极位置调整；</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（4）风机叶轮清洗；</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（5）燃气调压器检修；</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（6）蝶阀检修；</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（7）燃气比例调节；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（8）燃气放散操作；</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（9）燃气压力调节；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（10）燃气空气比例开关检修；</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（11）燃气电磁阀检修；</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（12）燃烧电机绝缘检修。</w:t>
      </w:r>
    </w:p>
    <w:p>
      <w:pP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10．机组机械电器维保要求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（1）整机捡漏；</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（2）阀门膜片检查；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（3）老化电器元件更换；</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（4）制冷结束维护；</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（5）供热结束维护；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（6）角阀密封件更换；</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（7）整机铜管内部检查,物理清洗；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（8）水室橡胶板更换。</w:t>
      </w:r>
    </w:p>
    <w:p>
      <w:pP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11．燃气系统维保要求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（1）过滤器清洗；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（2）供气管道捡漏（机组部分）。</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附件5</w:t>
      </w:r>
    </w:p>
    <w:p>
      <w:pPr>
        <w:spacing w:line="600" w:lineRule="exact"/>
        <w:ind w:right="-269" w:rightChars="-128"/>
        <w:jc w:val="center"/>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rPr>
        <w:t>直燃型冷热水机组维保服务考核表</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 xml:space="preserve">    </w:t>
      </w:r>
      <w:r>
        <w:rPr>
          <w:rFonts w:hint="eastAsia" w:ascii="微软雅黑" w:hAnsi="微软雅黑" w:eastAsia="微软雅黑" w:cs="微软雅黑"/>
          <w:b/>
          <w:sz w:val="24"/>
          <w:szCs w:val="24"/>
        </w:rPr>
        <w:t>月</w:t>
      </w:r>
      <w:r>
        <w:rPr>
          <w:rFonts w:hint="eastAsia" w:ascii="微软雅黑" w:hAnsi="微软雅黑" w:eastAsia="微软雅黑" w:cs="微软雅黑"/>
          <w:b/>
          <w:sz w:val="24"/>
          <w:szCs w:val="24"/>
          <w:lang w:eastAsia="zh-CN"/>
        </w:rPr>
        <w:t>）</w:t>
      </w:r>
    </w:p>
    <w:tbl>
      <w:tblPr>
        <w:tblStyle w:val="9"/>
        <w:tblW w:w="1075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25"/>
        <w:gridCol w:w="659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序号</w:t>
            </w:r>
          </w:p>
        </w:tc>
        <w:tc>
          <w:tcPr>
            <w:tcW w:w="162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项 目</w:t>
            </w:r>
          </w:p>
        </w:tc>
        <w:tc>
          <w:tcPr>
            <w:tcW w:w="65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考核内容</w:t>
            </w:r>
          </w:p>
        </w:tc>
        <w:tc>
          <w:tcPr>
            <w:tcW w:w="157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625" w:type="dxa"/>
            <w:vMerge w:val="restart"/>
            <w:tcBorders>
              <w:top w:val="single" w:color="auto" w:sz="4" w:space="0"/>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服务规范</w:t>
            </w: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⑴维保人员未着工装或未佩带工作牌；</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⑵维保现场是否施放安全警示标识；</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⑶服务用语是否规范；对客服务态度是否礼貌；</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⑷维修、保养、巡检记录不全；填写不规范，记录无签章；</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⑸维保工作是否妨碍客户正常工作或生活；</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⑹是否遵守华昌公司及物业服务中心的管理制度及规定；</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⑺维保人员未持证上岗；</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⑻未遵守安全、环保操作规程，发生安全事故及造成环境污染；</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⑼有无因服务态度发生客户投诉。</w:t>
            </w:r>
          </w:p>
        </w:tc>
        <w:tc>
          <w:tcPr>
            <w:tcW w:w="1575" w:type="dxa"/>
            <w:tcBorders>
              <w:top w:val="single" w:color="auto" w:sz="4" w:space="0"/>
              <w:left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sz w:val="24"/>
                <w:szCs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考核标准</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spacing w:val="-10"/>
                <w:sz w:val="24"/>
                <w:szCs w:val="24"/>
              </w:rPr>
            </w:pPr>
            <w:r>
              <w:rPr>
                <w:rFonts w:hint="eastAsia" w:ascii="微软雅黑" w:hAnsi="微软雅黑" w:eastAsia="微软雅黑" w:cs="微软雅黑"/>
                <w:sz w:val="24"/>
                <w:szCs w:val="24"/>
              </w:rPr>
              <w:t>符合用“√”表示，不符合用“×”，发生以上不符合项目按合同约定扣款或100元/项/次元扣款。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625" w:type="dxa"/>
            <w:vMerge w:val="restart"/>
            <w:tcBorders>
              <w:top w:val="single" w:color="auto" w:sz="4" w:space="0"/>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服务质量</w:t>
            </w: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b/>
                <w:color w:val="000000"/>
                <w:sz w:val="24"/>
                <w:szCs w:val="24"/>
              </w:rPr>
            </w:pPr>
            <w:r>
              <w:rPr>
                <w:rFonts w:hint="eastAsia" w:ascii="微软雅黑" w:hAnsi="微软雅黑" w:eastAsia="微软雅黑" w:cs="微软雅黑"/>
                <w:sz w:val="24"/>
                <w:szCs w:val="24"/>
              </w:rPr>
              <w:t>⑴未按计划内容进行维保，有缺项或未达到要求；</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⑵接故障时，合同约定时间内未到；</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项目重大活动期间是否及时安排人员现场值班；</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⑷节假日未提前递交值班计划；</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⑸报修电话无人接听；</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⑹私自改动电气、电子线路、安全设置和设备零部件等；</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⑺未提供变动后相关技术资料；</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⑻损坏或污染设施设备或物品；</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⑼未备齐常用配件，造成机组停机；</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⑿</w:t>
            </w:r>
            <w:r>
              <w:rPr>
                <w:rFonts w:hint="eastAsia" w:ascii="微软雅黑" w:hAnsi="微软雅黑" w:eastAsia="微软雅黑" w:cs="微软雅黑"/>
                <w:sz w:val="24"/>
                <w:szCs w:val="24"/>
              </w:rPr>
              <w:t>未按要求对物业服务中心空调人员进行培训；</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 w:val="24"/>
                <w:szCs w:val="24"/>
              </w:rPr>
            </w:pPr>
          </w:p>
        </w:tc>
        <w:tc>
          <w:tcPr>
            <w:tcW w:w="1625" w:type="dxa"/>
            <w:vMerge w:val="continue"/>
            <w:tcBorders>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p>
        </w:tc>
        <w:tc>
          <w:tcPr>
            <w:tcW w:w="659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⒀不配合物业公司设备整改或其它工作安排。</w:t>
            </w: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sz w:val="24"/>
                <w:szCs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考核标准</w:t>
            </w:r>
          </w:p>
        </w:tc>
        <w:tc>
          <w:tcPr>
            <w:tcW w:w="817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符合用“√”表示，不符合用“×”，发生以上不符合项目按合同约定扣款或200元/项/次扣款。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考核</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结果</w:t>
            </w:r>
          </w:p>
        </w:tc>
        <w:tc>
          <w:tcPr>
            <w:tcW w:w="8220"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微软雅黑" w:hAnsi="微软雅黑" w:eastAsia="微软雅黑" w:cs="微软雅黑"/>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sz w:val="24"/>
                <w:szCs w:val="24"/>
              </w:rPr>
            </w:pPr>
          </w:p>
        </w:tc>
        <w:tc>
          <w:tcPr>
            <w:tcW w:w="822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合计扣款:</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szCs w:val="24"/>
              </w:rPr>
            </w:pPr>
          </w:p>
        </w:tc>
      </w:tr>
    </w:tbl>
    <w:p>
      <w:pPr>
        <w:spacing w:line="300" w:lineRule="exact"/>
        <w:rPr>
          <w:rFonts w:hint="eastAsia" w:ascii="微软雅黑" w:hAnsi="微软雅黑" w:eastAsia="微软雅黑" w:cs="微软雅黑"/>
          <w:sz w:val="24"/>
          <w:szCs w:val="24"/>
        </w:rPr>
      </w:pPr>
    </w:p>
    <w:p>
      <w:pPr>
        <w:spacing w:line="300" w:lineRule="exact"/>
        <w:ind w:left="6" w:leftChars="3"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考核：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审批：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确认：</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附件6</w:t>
      </w:r>
    </w:p>
    <w:p>
      <w:pPr>
        <w:ind w:firstLine="960" w:firstLineChars="400"/>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零配件单件单价金额</w:t>
      </w:r>
      <w:r>
        <w:rPr>
          <w:rFonts w:hint="eastAsia" w:ascii="微软雅黑" w:hAnsi="微软雅黑" w:eastAsia="微软雅黑" w:cs="微软雅黑"/>
          <w:b/>
          <w:bCs/>
          <w:sz w:val="24"/>
          <w:szCs w:val="24"/>
          <w:lang w:eastAsia="zh-CN"/>
        </w:rPr>
        <w:t>含税¥</w:t>
      </w:r>
      <w:r>
        <w:rPr>
          <w:rFonts w:hint="eastAsia" w:ascii="微软雅黑" w:hAnsi="微软雅黑" w:eastAsia="微软雅黑" w:cs="微软雅黑"/>
          <w:b/>
          <w:bCs/>
          <w:sz w:val="24"/>
          <w:szCs w:val="24"/>
        </w:rPr>
        <w:t>1000.00元以内（含¥1000.00元）清单</w:t>
      </w:r>
    </w:p>
    <w:p>
      <w:pPr>
        <w:pStyle w:val="14"/>
        <w:rPr>
          <w:rFonts w:hint="eastAsia"/>
        </w:rPr>
      </w:pPr>
    </w:p>
    <w:tbl>
      <w:tblPr>
        <w:tblStyle w:val="9"/>
        <w:tblW w:w="10568" w:type="dxa"/>
        <w:tblInd w:w="-432" w:type="dxa"/>
        <w:tblLayout w:type="fixed"/>
        <w:tblCellMar>
          <w:top w:w="0" w:type="dxa"/>
          <w:left w:w="108" w:type="dxa"/>
          <w:bottom w:w="0" w:type="dxa"/>
          <w:right w:w="108" w:type="dxa"/>
        </w:tblCellMar>
      </w:tblPr>
      <w:tblGrid>
        <w:gridCol w:w="876"/>
        <w:gridCol w:w="2354"/>
        <w:gridCol w:w="2631"/>
        <w:gridCol w:w="957"/>
        <w:gridCol w:w="912"/>
        <w:gridCol w:w="1564"/>
        <w:gridCol w:w="1274"/>
      </w:tblGrid>
      <w:tr>
        <w:tblPrEx>
          <w:tblCellMar>
            <w:top w:w="0" w:type="dxa"/>
            <w:left w:w="108" w:type="dxa"/>
            <w:bottom w:w="0" w:type="dxa"/>
            <w:right w:w="108" w:type="dxa"/>
          </w:tblCellMar>
        </w:tblPrEx>
        <w:trPr>
          <w:trHeight w:val="400" w:hRule="atLeast"/>
        </w:trPr>
        <w:tc>
          <w:tcPr>
            <w:tcW w:w="876" w:type="dxa"/>
            <w:tcBorders>
              <w:top w:val="single" w:color="auto" w:sz="4" w:space="0"/>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序号</w:t>
            </w:r>
          </w:p>
        </w:tc>
        <w:tc>
          <w:tcPr>
            <w:tcW w:w="2354" w:type="dxa"/>
            <w:tcBorders>
              <w:top w:val="single" w:color="auto" w:sz="4" w:space="0"/>
              <w:left w:val="nil"/>
              <w:bottom w:val="single" w:color="auto" w:sz="4" w:space="0"/>
              <w:right w:val="single" w:color="auto" w:sz="4" w:space="0"/>
            </w:tcBorders>
            <w:noWrap w:val="0"/>
            <w:vAlign w:val="bottom"/>
          </w:tcPr>
          <w:p>
            <w:pPr>
              <w:spacing w:line="36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备件名称</w:t>
            </w:r>
          </w:p>
        </w:tc>
        <w:tc>
          <w:tcPr>
            <w:tcW w:w="2631" w:type="dxa"/>
            <w:tcBorders>
              <w:top w:val="single" w:color="auto" w:sz="4" w:space="0"/>
              <w:left w:val="nil"/>
              <w:bottom w:val="single" w:color="auto" w:sz="4" w:space="0"/>
              <w:right w:val="single" w:color="auto" w:sz="4" w:space="0"/>
            </w:tcBorders>
            <w:noWrap w:val="0"/>
            <w:vAlign w:val="bottom"/>
          </w:tcPr>
          <w:p>
            <w:pPr>
              <w:spacing w:line="36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规格型号</w:t>
            </w:r>
          </w:p>
        </w:tc>
        <w:tc>
          <w:tcPr>
            <w:tcW w:w="957" w:type="dxa"/>
            <w:tcBorders>
              <w:top w:val="single" w:color="auto" w:sz="4" w:space="0"/>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单位</w:t>
            </w:r>
          </w:p>
        </w:tc>
        <w:tc>
          <w:tcPr>
            <w:tcW w:w="912" w:type="dxa"/>
            <w:tcBorders>
              <w:top w:val="single" w:color="auto" w:sz="4" w:space="0"/>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数量</w:t>
            </w:r>
          </w:p>
        </w:tc>
        <w:tc>
          <w:tcPr>
            <w:tcW w:w="1564" w:type="dxa"/>
            <w:tcBorders>
              <w:top w:val="single" w:color="auto" w:sz="4" w:space="0"/>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单价</w:t>
            </w:r>
            <w:r>
              <w:rPr>
                <w:rFonts w:hint="eastAsia" w:ascii="微软雅黑" w:hAnsi="微软雅黑" w:eastAsia="微软雅黑" w:cs="微软雅黑"/>
                <w:color w:val="000000"/>
                <w:sz w:val="24"/>
                <w:szCs w:val="24"/>
                <w:lang w:eastAsia="zh-CN"/>
              </w:rPr>
              <w:t>（</w:t>
            </w:r>
            <w:r>
              <w:rPr>
                <w:rFonts w:hint="eastAsia" w:ascii="微软雅黑" w:hAnsi="微软雅黑" w:eastAsia="微软雅黑" w:cs="微软雅黑"/>
                <w:color w:val="000000"/>
                <w:sz w:val="24"/>
                <w:szCs w:val="24"/>
              </w:rPr>
              <w:t>元</w:t>
            </w:r>
            <w:r>
              <w:rPr>
                <w:rFonts w:hint="eastAsia" w:ascii="微软雅黑" w:hAnsi="微软雅黑" w:eastAsia="微软雅黑" w:cs="微软雅黑"/>
                <w:color w:val="000000"/>
                <w:sz w:val="24"/>
                <w:szCs w:val="24"/>
                <w:lang w:eastAsia="zh-CN"/>
              </w:rPr>
              <w:t>）</w:t>
            </w:r>
          </w:p>
        </w:tc>
        <w:tc>
          <w:tcPr>
            <w:tcW w:w="1274" w:type="dxa"/>
            <w:tcBorders>
              <w:top w:val="single" w:color="auto" w:sz="4" w:space="0"/>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备注</w:t>
            </w:r>
          </w:p>
        </w:tc>
      </w:tr>
      <w:tr>
        <w:tblPrEx>
          <w:tblCellMar>
            <w:top w:w="0" w:type="dxa"/>
            <w:left w:w="108" w:type="dxa"/>
            <w:bottom w:w="0" w:type="dxa"/>
            <w:right w:w="108" w:type="dxa"/>
          </w:tblCellMar>
        </w:tblPrEx>
        <w:trPr>
          <w:trHeight w:val="246"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电源</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P54AC10030</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480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264"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防冻温度调解器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P46TS10010</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885</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252"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冷冻水流量开关</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P46FS10010</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270"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冷冻水压差开关</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P46DP10010</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380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258"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温度传感器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P44TE1044N</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320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248"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液位电极棒</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C203160211</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260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264"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吸收器压力表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P41PG10310</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185</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254"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服务阀门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C007130700</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560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246"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保险</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特迈斯溴化锂机组用</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305"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玻璃视镜</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C007200100</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380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266"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11</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玻璃视镜包装物</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HGRNNSD020</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254"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12</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橡胶隔膜</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P33DV1003S</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300"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13</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阻抗器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DL-50EA3</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880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300"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14</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辛醇</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Alco</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L</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120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495"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高发压力表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EN837-1  CL.1</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185</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214"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高发压力控制器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GM201.02A2K3</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580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300"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17</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阻抗器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DL-3T1</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880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300"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18</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电阻器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RX20-30</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550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300"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19</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中间继电器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MY2N-J</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55</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300"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控制器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P-11</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180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300"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21</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报警器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HRB-P80A2</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85</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457"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22</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炉膛温度显示器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PXR-4TAY1-1V000-A</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380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300"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23</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风扇</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F1092</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75</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495"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24</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空气开关(西门子)</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5SJ62</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495"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25</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空气开关(西门子)</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5SJ64</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495"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26</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交流接触器(西门子)</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3TF33</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155</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495"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27</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热继电器(西门子)</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3UA52</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480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495"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28</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热继电器(西门子)</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3UA50</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480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495"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29</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交流接触器(西门子)</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3TF30</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155</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322"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30</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保险(西门子)</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3NA3812-2C</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300"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31</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中间继电器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61F-GP-N</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35</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r>
        <w:tblPrEx>
          <w:tblCellMar>
            <w:top w:w="0" w:type="dxa"/>
            <w:left w:w="108" w:type="dxa"/>
            <w:bottom w:w="0" w:type="dxa"/>
            <w:right w:w="108" w:type="dxa"/>
          </w:tblCellMar>
        </w:tblPrEx>
        <w:trPr>
          <w:trHeight w:val="300" w:hRule="atLeast"/>
        </w:trPr>
        <w:tc>
          <w:tcPr>
            <w:tcW w:w="876" w:type="dxa"/>
            <w:tcBorders>
              <w:top w:val="nil"/>
              <w:left w:val="single" w:color="auto" w:sz="4" w:space="0"/>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32</w:t>
            </w:r>
          </w:p>
        </w:tc>
        <w:tc>
          <w:tcPr>
            <w:tcW w:w="235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变压器</w:t>
            </w:r>
          </w:p>
        </w:tc>
        <w:tc>
          <w:tcPr>
            <w:tcW w:w="2631"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JBK5-630</w:t>
            </w:r>
          </w:p>
        </w:tc>
        <w:tc>
          <w:tcPr>
            <w:tcW w:w="957"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个</w:t>
            </w:r>
          </w:p>
        </w:tc>
        <w:tc>
          <w:tcPr>
            <w:tcW w:w="912"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1564" w:type="dxa"/>
            <w:tcBorders>
              <w:top w:val="nil"/>
              <w:left w:val="nil"/>
              <w:bottom w:val="single" w:color="auto" w:sz="4" w:space="0"/>
              <w:right w:val="single" w:color="auto" w:sz="4" w:space="0"/>
            </w:tcBorders>
            <w:noWrap w:val="0"/>
            <w:vAlign w:val="bottom"/>
          </w:tcPr>
          <w:p>
            <w:pPr>
              <w:spacing w:line="3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680</w:t>
            </w:r>
          </w:p>
        </w:tc>
        <w:tc>
          <w:tcPr>
            <w:tcW w:w="1274" w:type="dxa"/>
            <w:tcBorders>
              <w:top w:val="nil"/>
              <w:left w:val="nil"/>
              <w:bottom w:val="single" w:color="auto" w:sz="4" w:space="0"/>
              <w:right w:val="single" w:color="auto" w:sz="4" w:space="0"/>
            </w:tcBorders>
            <w:noWrap w:val="0"/>
            <w:vAlign w:val="bottom"/>
          </w:tcPr>
          <w:p>
            <w:pPr>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w:t>
            </w:r>
          </w:p>
        </w:tc>
      </w:tr>
    </w:tbl>
    <w:p>
      <w:pPr>
        <w:ind w:left="480" w:hanging="480" w:hangingChars="200"/>
        <w:rPr>
          <w:rFonts w:hint="eastAsia" w:ascii="微软雅黑" w:hAnsi="微软雅黑" w:eastAsia="微软雅黑" w:cs="微软雅黑"/>
          <w:sz w:val="24"/>
          <w:szCs w:val="24"/>
        </w:rPr>
      </w:pPr>
    </w:p>
    <w:p>
      <w:pPr>
        <w:ind w:left="480" w:hanging="480" w:hangingChars="200"/>
        <w:rPr>
          <w:rFonts w:hint="eastAsia" w:ascii="微软雅黑" w:hAnsi="微软雅黑" w:eastAsia="微软雅黑" w:cs="微软雅黑"/>
          <w:sz w:val="24"/>
          <w:szCs w:val="24"/>
        </w:rPr>
      </w:pPr>
    </w:p>
    <w:p>
      <w:pPr>
        <w:ind w:left="480" w:hanging="480" w:hangingChars="200"/>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w:t>
      </w:r>
    </w:p>
    <w:p>
      <w:pPr>
        <w:spacing w:line="620" w:lineRule="exact"/>
        <w:jc w:val="center"/>
        <w:rPr>
          <w:rFonts w:hint="eastAsia" w:ascii="微软雅黑" w:hAnsi="微软雅黑" w:eastAsia="微软雅黑" w:cs="微软雅黑"/>
          <w:b/>
          <w:color w:val="000000"/>
          <w:sz w:val="24"/>
          <w:szCs w:val="24"/>
          <w:lang w:eastAsia="zh-CN"/>
        </w:rPr>
      </w:pPr>
      <w:r>
        <w:rPr>
          <w:rFonts w:hint="eastAsia" w:ascii="微软雅黑" w:hAnsi="微软雅黑" w:eastAsia="微软雅黑" w:cs="微软雅黑"/>
          <w:b/>
          <w:color w:val="000000"/>
          <w:sz w:val="24"/>
          <w:szCs w:val="24"/>
        </w:rPr>
        <w:t>廉洁诚信协议</w:t>
      </w:r>
    </w:p>
    <w:p>
      <w:pPr>
        <w:widowControl/>
        <w:adjustRightInd w:val="0"/>
        <w:snapToGrid w:val="0"/>
        <w:jc w:val="left"/>
        <w:rPr>
          <w:rFonts w:ascii="微软雅黑" w:hAnsi="微软雅黑" w:eastAsia="微软雅黑" w:cs="仿宋"/>
          <w:b w:val="0"/>
          <w:bCs w:val="0"/>
          <w:sz w:val="24"/>
          <w:szCs w:val="24"/>
        </w:rPr>
      </w:pPr>
      <w:r>
        <w:rPr>
          <w:rFonts w:hint="eastAsia" w:ascii="微软雅黑" w:hAnsi="微软雅黑" w:eastAsia="微软雅黑" w:cs="仿宋"/>
          <w:b w:val="0"/>
          <w:bCs w:val="0"/>
          <w:sz w:val="24"/>
          <w:szCs w:val="24"/>
        </w:rPr>
        <w:t>甲方：成都华昌物业发展有限责任公司</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微软雅黑" w:hAnsi="微软雅黑" w:eastAsia="微软雅黑" w:cs="仿宋"/>
          <w:b w:val="0"/>
          <w:bCs w:val="0"/>
          <w:sz w:val="24"/>
          <w:szCs w:val="24"/>
          <w:highlight w:val="none"/>
        </w:rPr>
      </w:pPr>
      <w:r>
        <w:rPr>
          <w:rFonts w:hint="eastAsia" w:ascii="微软雅黑" w:hAnsi="微软雅黑" w:eastAsia="微软雅黑" w:cs="仿宋"/>
          <w:b w:val="0"/>
          <w:bCs w:val="0"/>
          <w:sz w:val="24"/>
          <w:szCs w:val="24"/>
        </w:rPr>
        <w:t>乙方：</w:t>
      </w:r>
      <w:r>
        <w:rPr>
          <w:rFonts w:hint="eastAsia" w:ascii="微软雅黑" w:hAnsi="微软雅黑" w:eastAsia="微软雅黑" w:cs="微软雅黑"/>
          <w:color w:val="auto"/>
          <w:sz w:val="24"/>
          <w:szCs w:val="24"/>
        </w:rPr>
        <w:t>北京三汇能环科技发展有限公司</w:t>
      </w:r>
    </w:p>
    <w:p>
      <w:pPr>
        <w:keepNext w:val="0"/>
        <w:keepLines w:val="0"/>
        <w:pageBreakBefore w:val="0"/>
        <w:kinsoku/>
        <w:wordWrap/>
        <w:overflowPunct/>
        <w:topLinePunct w:val="0"/>
        <w:autoSpaceDE/>
        <w:autoSpaceDN/>
        <w:bidi w:val="0"/>
        <w:spacing w:line="240" w:lineRule="auto"/>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甲、乙双方签署了</w:t>
      </w:r>
      <w:r>
        <w:rPr>
          <w:rFonts w:hint="eastAsia" w:ascii="微软雅黑" w:hAnsi="微软雅黑" w:eastAsia="微软雅黑" w:cs="微软雅黑"/>
          <w:color w:val="000000"/>
          <w:sz w:val="24"/>
          <w:szCs w:val="24"/>
          <w:lang w:val="en-US" w:eastAsia="zh-CN"/>
        </w:rPr>
        <w:t>交易合同</w:t>
      </w:r>
      <w:r>
        <w:rPr>
          <w:rFonts w:hint="eastAsia" w:ascii="微软雅黑" w:hAnsi="微软雅黑" w:eastAsia="微软雅黑" w:cs="微软雅黑"/>
          <w:color w:val="000000"/>
          <w:sz w:val="24"/>
          <w:szCs w:val="24"/>
        </w:rPr>
        <w:t>（下简称“</w:t>
      </w:r>
      <w:r>
        <w:rPr>
          <w:rFonts w:hint="eastAsia" w:ascii="微软雅黑" w:hAnsi="微软雅黑" w:eastAsia="微软雅黑" w:cs="微软雅黑"/>
          <w:color w:val="000000"/>
          <w:sz w:val="24"/>
          <w:szCs w:val="24"/>
          <w:lang w:val="en-US" w:eastAsia="zh-CN"/>
        </w:rPr>
        <w:t>交易</w:t>
      </w:r>
      <w:r>
        <w:rPr>
          <w:rFonts w:hint="eastAsia" w:ascii="微软雅黑" w:hAnsi="微软雅黑" w:eastAsia="微软雅黑" w:cs="微软雅黑"/>
          <w:color w:val="000000"/>
          <w:sz w:val="24"/>
          <w:szCs w:val="24"/>
        </w:rPr>
        <w:t>合同”），合同</w:t>
      </w:r>
      <w:r>
        <w:rPr>
          <w:rFonts w:hint="eastAsia" w:ascii="微软雅黑" w:hAnsi="微软雅黑" w:eastAsia="微软雅黑" w:cs="微软雅黑"/>
          <w:color w:val="000000"/>
          <w:sz w:val="24"/>
          <w:szCs w:val="24"/>
          <w:lang w:val="en-US" w:eastAsia="zh-CN"/>
        </w:rPr>
        <w:t>名称</w:t>
      </w:r>
      <w:r>
        <w:rPr>
          <w:rFonts w:hint="eastAsia" w:ascii="微软雅黑" w:hAnsi="微软雅黑" w:eastAsia="微软雅黑" w:cs="微软雅黑"/>
          <w:color w:val="000000"/>
          <w:sz w:val="24"/>
          <w:szCs w:val="24"/>
        </w:rPr>
        <w:t>：成都市妇女儿童中心直燃型冷热水机组维护保养服务合同</w:t>
      </w:r>
      <w:r>
        <w:rPr>
          <w:rFonts w:hint="eastAsia" w:ascii="微软雅黑" w:hAnsi="微软雅黑" w:eastAsia="微软雅黑" w:cs="微软雅黑"/>
          <w:color w:val="000000"/>
          <w:sz w:val="24"/>
          <w:szCs w:val="24"/>
          <w:lang w:eastAsia="zh-CN"/>
        </w:rPr>
        <w:t>，</w:t>
      </w:r>
      <w:r>
        <w:rPr>
          <w:rFonts w:hint="eastAsia" w:ascii="微软雅黑" w:hAnsi="微软雅黑" w:eastAsia="微软雅黑" w:cs="微软雅黑"/>
          <w:color w:val="000000"/>
          <w:sz w:val="24"/>
          <w:szCs w:val="24"/>
        </w:rPr>
        <w:t>合同</w:t>
      </w:r>
      <w:r>
        <w:rPr>
          <w:rFonts w:hint="eastAsia" w:ascii="微软雅黑" w:hAnsi="微软雅黑" w:eastAsia="微软雅黑" w:cs="微软雅黑"/>
          <w:color w:val="000000"/>
          <w:sz w:val="24"/>
          <w:szCs w:val="24"/>
          <w:lang w:val="en-US" w:eastAsia="zh-CN"/>
        </w:rPr>
        <w:t>编号</w:t>
      </w:r>
      <w:r>
        <w:rPr>
          <w:rFonts w:hint="eastAsia" w:ascii="微软雅黑" w:hAnsi="微软雅黑" w:eastAsia="微软雅黑" w:cs="微软雅黑"/>
          <w:color w:val="000000"/>
          <w:sz w:val="24"/>
          <w:szCs w:val="24"/>
        </w:rPr>
        <w:t>： HC[202</w:t>
      </w:r>
      <w:r>
        <w:rPr>
          <w:rFonts w:hint="eastAsia" w:ascii="微软雅黑" w:hAnsi="微软雅黑" w:eastAsia="微软雅黑" w:cs="微软雅黑"/>
          <w:color w:val="000000"/>
          <w:sz w:val="24"/>
          <w:szCs w:val="24"/>
          <w:lang w:val="en-US" w:eastAsia="zh-CN"/>
        </w:rPr>
        <w:t>3</w:t>
      </w:r>
      <w:r>
        <w:rPr>
          <w:rFonts w:hint="eastAsia" w:ascii="微软雅黑" w:hAnsi="微软雅黑" w:eastAsia="微软雅黑" w:cs="微软雅黑"/>
          <w:color w:val="000000"/>
          <w:sz w:val="24"/>
          <w:szCs w:val="24"/>
        </w:rPr>
        <w:t>]FEZX-0</w:t>
      </w:r>
      <w:r>
        <w:rPr>
          <w:rFonts w:hint="eastAsia" w:ascii="微软雅黑" w:hAnsi="微软雅黑" w:eastAsia="微软雅黑" w:cs="微软雅黑"/>
          <w:color w:val="000000"/>
          <w:sz w:val="24"/>
          <w:szCs w:val="24"/>
          <w:lang w:val="en-US" w:eastAsia="zh-CN"/>
        </w:rPr>
        <w:t>02，</w:t>
      </w:r>
      <w:r>
        <w:rPr>
          <w:rFonts w:hint="eastAsia" w:ascii="微软雅黑" w:hAnsi="微软雅黑" w:eastAsia="微软雅黑" w:cs="微软雅黑"/>
          <w:color w:val="000000"/>
          <w:sz w:val="24"/>
          <w:szCs w:val="24"/>
        </w:rPr>
        <w:t>为加强</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履行过程中的廉洁合作，确保</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顺利履行，规范交易双方的各项活动，防止发生各种谋取不正当利益的违法违纪行为，保护双方合法权益，根据国家有关法律法规和保利物业</w:t>
      </w:r>
      <w:r>
        <w:rPr>
          <w:rFonts w:hint="eastAsia" w:ascii="微软雅黑" w:hAnsi="微软雅黑" w:eastAsia="微软雅黑" w:cs="微软雅黑"/>
          <w:color w:val="000000"/>
          <w:sz w:val="24"/>
          <w:szCs w:val="24"/>
          <w:lang w:val="en-US" w:eastAsia="zh-CN"/>
        </w:rPr>
        <w:t>服务</w:t>
      </w:r>
      <w:r>
        <w:rPr>
          <w:rFonts w:hint="eastAsia" w:ascii="微软雅黑" w:hAnsi="微软雅黑" w:eastAsia="微软雅黑" w:cs="微软雅黑"/>
          <w:color w:val="000000"/>
          <w:sz w:val="24"/>
          <w:szCs w:val="24"/>
        </w:rPr>
        <w:t>股份有限公司有关文件规定，特订立本廉洁诚信协议。</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第一条 甲乙双方共同承诺</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1.严格遵守国家关于</w:t>
      </w:r>
      <w:r>
        <w:rPr>
          <w:rFonts w:hint="eastAsia" w:ascii="微软雅黑" w:hAnsi="微软雅黑" w:eastAsia="微软雅黑" w:cs="微软雅黑"/>
          <w:color w:val="000000"/>
          <w:sz w:val="24"/>
          <w:szCs w:val="24"/>
          <w:lang w:val="en-US" w:eastAsia="zh-CN"/>
        </w:rPr>
        <w:t>物业管理、</w:t>
      </w:r>
      <w:r>
        <w:rPr>
          <w:rFonts w:hint="eastAsia" w:ascii="微软雅黑" w:hAnsi="微软雅黑" w:eastAsia="微软雅黑" w:cs="微软雅黑"/>
          <w:color w:val="000000"/>
          <w:sz w:val="24"/>
          <w:szCs w:val="24"/>
        </w:rPr>
        <w:t>市场准入、项目招标投标、工程建设、施工安装、物资采购和市场活动等有关法律、法规，相关政策，以及廉政建设的各项规定。</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2.严格执行合同文件，自觉按合同办事。</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3.坚持公开、公平、公正的原则，不为获取不正当利益而损害对方利益。</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4.保守对方的商业秘密，不将其用于交易以外的目的。</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第二条 甲方</w:t>
      </w:r>
      <w:r>
        <w:rPr>
          <w:rFonts w:hint="eastAsia" w:ascii="微软雅黑" w:hAnsi="微软雅黑" w:eastAsia="微软雅黑" w:cs="微软雅黑"/>
          <w:color w:val="000000"/>
          <w:sz w:val="24"/>
          <w:szCs w:val="24"/>
          <w:lang w:val="en-US" w:eastAsia="zh-CN"/>
        </w:rPr>
        <w:t>责任</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1.甲方有责任对本单位工作人员进行廉洁合作教育。</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甲方人员（含家属、子女，下同）应严格遵守本单位廉洁合作管理的规定，保持与乙方的正常业务交往，不得利用职务便利或职务上的影响力，直接或间接向乙方索取、收受不正当利益，包括但不限于：金钱、实物等财产性或者非财产性利益（包括：红包、礼金、提成、回扣、手续费、劳务费、有价证券、含有金额的会员卡、代币卡/券、股份、赞助、减免债务、提供担保、费用报销、礼品、各种高档生活用品、奢侈消费品、工艺品、收藏品、房屋、通讯工具、交通工具、提供房屋装修、借贷款项、借用物品、特殊待遇、就业机会、项目机会、委托理财、赌博输赢交易、以非正常价格交易等）以及其他可能影响其行使职权的活动（包括：宴请、旅游、体育、桑拿、沐足、KTV等）。</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3.甲方人员不得以侵占、挪用、盗窃、虚构事实、隐瞒真相、欺骗、胁迫等违规手段为自己或乙方谋取利益，例如“炒更”、“接私活”、“围标串标”等行为。</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4.甲方人员不得做出损害甲乙双方利益或给甲乙双方带来利益损失风险的行为。</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5.甲方有权对乙方在</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履行过程中廉洁合作管理执行情况实行监督。</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6.甲方在</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履行过程中发现甲方人员收受乙方贿赂或乙方向甲方人员行贿等不廉洁行为、甲乙双方人员合谋违规谋取利益或损害甲乙双方利益行为的，均应及时采取措施予以制止，并及时通报乙方。</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7.甲方接受乙方实名或匿名投诉举报，并将严格保密。对于乙方投诉举报甲方人员违反本协议规定的情况，甲方应及时进行调查，根据调查结果做出相应处理。</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第三条 乙方</w:t>
      </w:r>
      <w:r>
        <w:rPr>
          <w:rFonts w:hint="eastAsia" w:ascii="微软雅黑" w:hAnsi="微软雅黑" w:eastAsia="微软雅黑" w:cs="微软雅黑"/>
          <w:color w:val="000000"/>
          <w:sz w:val="24"/>
          <w:szCs w:val="24"/>
          <w:lang w:val="en-US" w:eastAsia="zh-CN"/>
        </w:rPr>
        <w:t>责任</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1.乙方应保证乙方有关人员知悉本协议的规定，并遵照执行。</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2.乙方有责任接受甲方对乙方在</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履行过程中廉洁合作管理执行情况的监督。</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乙方应严格遵守本协议的规定，保持与甲方的正常业务交往，不得贿赂甲方人员或与甲方人员有不正当利益来往，包括但不限于：金钱、实物等财产性或者非财产性利益（包括：红包、礼金、提成、回扣、手续费、劳务费、有价证券、含有金额的会员卡、代币卡/券、股份、赞助、减免债务、提供担保、费用报销、礼品、各种高档生活用品、奢侈消费品、工艺品、收藏品、房屋、通讯工具、交通工具、提供房屋装修、借贷款项、借用物品、特殊待遇、就业机会、项目机会、委托理财、赌博输赢交易、以非正常价格交易等）以及其他可能影响其行使职权的活动（包括：宴请、旅游、体育、桑拿、沐足、KTV等）。</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4.乙方不得以侵占、挪用、盗窃、虚构事实、隐瞒真相、欺骗、胁迫等违规手段为自己或相关利益人谋取利益，例如“炒更”、“接私活”、“围标串标”等行为。</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5.乙方不得做出损害甲乙双方利益或给甲乙双方带来利益损失风险的行为。</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6.乙方在</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履行过程中发现甲方人员收受乙方贿赂或乙方向甲方人员行贿等不廉洁行为、甲乙双方人员合谋违规谋取利益或损害甲乙双方利益行为的，均应及时采取措施予以制止，并及时通报甲方。</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7.乙方保证向在招投标活动及</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履行过程中向甲方提供的任何资质、证照证件、合同等文件及其复印件、扫描件、照片均为真实、合法、有效的。</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8.乙方有义务就甲方人员任何不廉洁行为向甲方投诉举报。</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9.甲方对不廉洁行为开展调查，乙方应当配合，包括如实陈述事实、提供相关资料、配合甲方现场调查等。。</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第四条 违约责任</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1.甲方人员如违反本协议规定，甲方应视情节轻重、影响大小作相应处理并追究其法律责任；涉嫌犯罪的，移交司法机关追究刑事责任。</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2.乙方人员如违反本协议规定，乙方应视情节轻重、影响大小作相应处理并追究其法律责任；涉嫌犯罪的，移交司法机关追究刑事责任。</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3</w:t>
      </w:r>
      <w:r>
        <w:rPr>
          <w:rFonts w:hint="eastAsia" w:ascii="微软雅黑" w:hAnsi="微软雅黑" w:eastAsia="微软雅黑" w:cs="微软雅黑"/>
          <w:color w:val="000000"/>
          <w:sz w:val="24"/>
          <w:szCs w:val="24"/>
        </w:rPr>
        <w:t>.乙方人员的不廉洁行为可能构成犯罪或被司法机关立案调查的，或者乙方无正当理由拒不配合甲方开展的不廉洁行为调查工作的，甲方有权选择中止或终止</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的履行，还有权将乙方列入合作“黑名单”，有权禁止乙方再参与甲方（含甲方关联方、甲方及甲方关联方的合作方）的经营活动。</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rPr>
        <w:t>.乙方在招投标活动中存在围标、串标行为或在招投标活动/</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履行过程中向甲方提供虚假资料、信息的，甲方有权单方面解除</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，乙方应全额返还甲方已支付款项。</w:t>
      </w:r>
    </w:p>
    <w:p>
      <w:pPr>
        <w:spacing w:line="620" w:lineRule="exact"/>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rPr>
        <w:t xml:space="preserve">第五条 </w:t>
      </w:r>
      <w:r>
        <w:rPr>
          <w:rFonts w:hint="eastAsia" w:ascii="微软雅黑" w:hAnsi="微软雅黑" w:eastAsia="微软雅黑" w:cs="微软雅黑"/>
          <w:color w:val="000000"/>
          <w:sz w:val="24"/>
          <w:szCs w:val="24"/>
          <w:lang w:val="en-US" w:eastAsia="zh-CN"/>
        </w:rPr>
        <w:t>其他</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1.本协议</w:t>
      </w:r>
      <w:r>
        <w:rPr>
          <w:rFonts w:hint="eastAsia" w:ascii="微软雅黑" w:hAnsi="微软雅黑" w:eastAsia="微软雅黑" w:cs="微软雅黑"/>
          <w:color w:val="000000"/>
          <w:sz w:val="24"/>
          <w:szCs w:val="24"/>
          <w:lang w:val="en-US" w:eastAsia="zh-CN"/>
        </w:rPr>
        <w:t>适用于交易合同及其附件与补充协议及其他双方签署的交易合同，</w:t>
      </w:r>
      <w:r>
        <w:rPr>
          <w:rFonts w:hint="eastAsia" w:ascii="微软雅黑" w:hAnsi="微软雅黑" w:eastAsia="微软雅黑" w:cs="微软雅黑"/>
          <w:color w:val="000000"/>
          <w:sz w:val="24"/>
          <w:szCs w:val="24"/>
        </w:rPr>
        <w:t>不因</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的中止或终止而失效，即使</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中止或终止，甲方仍有权追究乙方在履行</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过程中违反本协议规定的法律责任；涉嫌犯罪的，移交司法机关追究刑事责任。</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eastAsia="zh-CN"/>
        </w:rPr>
        <w:drawing>
          <wp:anchor distT="0" distB="0" distL="114300" distR="114300" simplePos="0" relativeHeight="251659264" behindDoc="0" locked="0" layoutInCell="1" allowOverlap="1">
            <wp:simplePos x="0" y="0"/>
            <wp:positionH relativeFrom="column">
              <wp:posOffset>5149850</wp:posOffset>
            </wp:positionH>
            <wp:positionV relativeFrom="paragraph">
              <wp:posOffset>680085</wp:posOffset>
            </wp:positionV>
            <wp:extent cx="971550" cy="995680"/>
            <wp:effectExtent l="0" t="0" r="0" b="13970"/>
            <wp:wrapNone/>
            <wp:docPr id="1" name="图片 1" descr="167961921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619211273"/>
                    <pic:cNvPicPr>
                      <a:picLocks noChangeAspect="1"/>
                    </pic:cNvPicPr>
                  </pic:nvPicPr>
                  <pic:blipFill>
                    <a:blip r:embed="rId7"/>
                    <a:stretch>
                      <a:fillRect/>
                    </a:stretch>
                  </pic:blipFill>
                  <pic:spPr>
                    <a:xfrm>
                      <a:off x="0" y="0"/>
                      <a:ext cx="971550" cy="995680"/>
                    </a:xfrm>
                    <a:prstGeom prst="rect">
                      <a:avLst/>
                    </a:prstGeom>
                  </pic:spPr>
                </pic:pic>
              </a:graphicData>
            </a:graphic>
          </wp:anchor>
        </w:drawing>
      </w:r>
      <w:r>
        <w:rPr>
          <w:rFonts w:hint="eastAsia" w:ascii="微软雅黑" w:hAnsi="微软雅黑" w:eastAsia="微软雅黑" w:cs="微软雅黑"/>
          <w:color w:val="000000"/>
          <w:sz w:val="24"/>
          <w:szCs w:val="24"/>
        </w:rPr>
        <w:t>2.本协议经双方签字盖章后生效，与</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同具法律效力。如本协议与</w:t>
      </w:r>
      <w:r>
        <w:rPr>
          <w:rFonts w:hint="eastAsia" w:ascii="微软雅黑" w:hAnsi="微软雅黑" w:eastAsia="微软雅黑" w:cs="微软雅黑"/>
          <w:color w:val="000000"/>
          <w:sz w:val="24"/>
          <w:szCs w:val="24"/>
          <w:lang w:eastAsia="zh-CN"/>
        </w:rPr>
        <w:t>交易合同</w:t>
      </w:r>
      <w:r>
        <w:rPr>
          <w:rFonts w:hint="eastAsia" w:ascii="微软雅黑" w:hAnsi="微软雅黑" w:eastAsia="微软雅黑" w:cs="微软雅黑"/>
          <w:color w:val="000000"/>
          <w:sz w:val="24"/>
          <w:szCs w:val="24"/>
        </w:rPr>
        <w:t>约定不一致的，以本协议为准。</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3.</w:t>
      </w:r>
      <w:r>
        <w:rPr>
          <w:rFonts w:hint="eastAsia" w:ascii="微软雅黑" w:hAnsi="微软雅黑" w:eastAsia="微软雅黑" w:cs="微软雅黑"/>
          <w:color w:val="000000"/>
          <w:sz w:val="24"/>
          <w:szCs w:val="24"/>
        </w:rPr>
        <w:t>本协议</w:t>
      </w:r>
      <w:r>
        <w:rPr>
          <w:rFonts w:hint="eastAsia" w:ascii="微软雅黑" w:hAnsi="微软雅黑" w:eastAsia="微软雅黑" w:cs="微软雅黑"/>
          <w:sz w:val="24"/>
          <w:szCs w:val="24"/>
        </w:rPr>
        <w:t>一式五份（甲方三份、乙方两份）</w:t>
      </w:r>
      <w:r>
        <w:rPr>
          <w:rFonts w:hint="eastAsia" w:ascii="微软雅黑" w:hAnsi="微软雅黑" w:eastAsia="微软雅黑" w:cs="微软雅黑"/>
          <w:color w:val="000000"/>
          <w:sz w:val="24"/>
          <w:szCs w:val="24"/>
        </w:rPr>
        <w:t xml:space="preserve">。 </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rPr>
        <w:t>甲方接受举报的业务部门及联系方式如下：</w:t>
      </w:r>
    </w:p>
    <w:p>
      <w:pPr>
        <w:spacing w:line="620" w:lineRule="exact"/>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rPr>
        <w:t>接受举报部门：</w:t>
      </w:r>
      <w:r>
        <w:rPr>
          <w:rFonts w:hint="eastAsia" w:ascii="微软雅黑" w:hAnsi="微软雅黑" w:eastAsia="微软雅黑" w:cs="微软雅黑"/>
          <w:color w:val="000000"/>
          <w:sz w:val="24"/>
          <w:szCs w:val="24"/>
          <w:lang w:val="en-US" w:eastAsia="zh-CN"/>
        </w:rPr>
        <w:t>保利物业服务股份有限公司纪检监察办公室</w:t>
      </w:r>
    </w:p>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邮箱： </w:t>
      </w:r>
      <w:r>
        <w:rPr>
          <w:rFonts w:hint="eastAsia" w:ascii="微软雅黑" w:hAnsi="微软雅黑" w:eastAsia="微软雅黑" w:cs="微软雅黑"/>
          <w:color w:val="000000"/>
          <w:sz w:val="24"/>
          <w:szCs w:val="24"/>
        </w:rPr>
        <w:fldChar w:fldCharType="begin"/>
      </w:r>
      <w:r>
        <w:rPr>
          <w:rFonts w:hint="eastAsia" w:ascii="微软雅黑" w:hAnsi="微软雅黑" w:eastAsia="微软雅黑" w:cs="微软雅黑"/>
          <w:color w:val="000000"/>
          <w:sz w:val="24"/>
          <w:szCs w:val="24"/>
        </w:rPr>
        <w:instrText xml:space="preserve"> HYPERLINK "mailto:polyjijian@polywuye.com" </w:instrText>
      </w:r>
      <w:r>
        <w:rPr>
          <w:rFonts w:hint="eastAsia" w:ascii="微软雅黑" w:hAnsi="微软雅黑" w:eastAsia="微软雅黑" w:cs="微软雅黑"/>
          <w:color w:val="000000"/>
          <w:sz w:val="24"/>
          <w:szCs w:val="24"/>
        </w:rPr>
        <w:fldChar w:fldCharType="separate"/>
      </w:r>
      <w:r>
        <w:rPr>
          <w:rFonts w:hint="eastAsia" w:ascii="微软雅黑" w:hAnsi="微软雅黑" w:eastAsia="微软雅黑" w:cs="微软雅黑"/>
          <w:color w:val="000000"/>
          <w:sz w:val="24"/>
          <w:szCs w:val="24"/>
        </w:rPr>
        <w:t>polyjijian@polywuye.com</w:t>
      </w:r>
      <w:r>
        <w:rPr>
          <w:rFonts w:hint="eastAsia" w:ascii="微软雅黑" w:hAnsi="微软雅黑" w:eastAsia="微软雅黑" w:cs="微软雅黑"/>
          <w:color w:val="000000"/>
          <w:sz w:val="24"/>
          <w:szCs w:val="24"/>
        </w:rPr>
        <w:fldChar w:fldCharType="end"/>
      </w:r>
    </w:p>
    <w:p>
      <w:pPr>
        <w:spacing w:line="620" w:lineRule="exact"/>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rPr>
        <w:t>电话：13544576242</w:t>
      </w:r>
    </w:p>
    <w:tbl>
      <w:tblPr>
        <w:tblStyle w:val="9"/>
        <w:tblW w:w="9946" w:type="dxa"/>
        <w:tblInd w:w="0" w:type="dxa"/>
        <w:tblLayout w:type="autofit"/>
        <w:tblCellMar>
          <w:top w:w="0" w:type="dxa"/>
          <w:left w:w="108" w:type="dxa"/>
          <w:bottom w:w="0" w:type="dxa"/>
          <w:right w:w="108" w:type="dxa"/>
        </w:tblCellMar>
      </w:tblPr>
      <w:tblGrid>
        <w:gridCol w:w="5626"/>
        <w:gridCol w:w="4320"/>
      </w:tblGrid>
      <w:tr>
        <w:tblPrEx>
          <w:tblCellMar>
            <w:top w:w="0" w:type="dxa"/>
            <w:left w:w="108" w:type="dxa"/>
            <w:bottom w:w="0" w:type="dxa"/>
            <w:right w:w="108" w:type="dxa"/>
          </w:tblCellMar>
        </w:tblPrEx>
        <w:trPr>
          <w:trHeight w:val="1065" w:hRule="atLeast"/>
        </w:trPr>
        <w:tc>
          <w:tcPr>
            <w:tcW w:w="5626" w:type="dxa"/>
            <w:vAlign w:val="center"/>
          </w:tcPr>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甲方：（盖章）成都华昌物业发展有限责任公司</w:t>
            </w:r>
          </w:p>
          <w:p>
            <w:pPr>
              <w:spacing w:line="620" w:lineRule="exact"/>
              <w:ind w:firstLine="480" w:firstLineChars="200"/>
              <w:rPr>
                <w:rFonts w:hint="eastAsia" w:ascii="微软雅黑" w:hAnsi="微软雅黑" w:eastAsia="微软雅黑" w:cs="微软雅黑"/>
                <w:color w:val="000000"/>
                <w:sz w:val="24"/>
                <w:szCs w:val="24"/>
              </w:rPr>
            </w:pPr>
          </w:p>
        </w:tc>
        <w:tc>
          <w:tcPr>
            <w:tcW w:w="4320" w:type="dxa"/>
            <w:vAlign w:val="center"/>
          </w:tcPr>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乙方：（盖章）</w:t>
            </w:r>
            <w:r>
              <w:rPr>
                <w:rFonts w:hint="eastAsia" w:ascii="微软雅黑" w:hAnsi="微软雅黑" w:eastAsia="微软雅黑" w:cs="微软雅黑"/>
                <w:color w:val="auto"/>
                <w:sz w:val="24"/>
                <w:szCs w:val="24"/>
              </w:rPr>
              <w:t>北京三汇能环科技发展有限公司</w:t>
            </w:r>
          </w:p>
        </w:tc>
      </w:tr>
      <w:tr>
        <w:tblPrEx>
          <w:tblCellMar>
            <w:top w:w="0" w:type="dxa"/>
            <w:left w:w="108" w:type="dxa"/>
            <w:bottom w:w="0" w:type="dxa"/>
            <w:right w:w="108" w:type="dxa"/>
          </w:tblCellMar>
        </w:tblPrEx>
        <w:trPr>
          <w:trHeight w:val="386" w:hRule="atLeast"/>
        </w:trPr>
        <w:tc>
          <w:tcPr>
            <w:tcW w:w="5626" w:type="dxa"/>
            <w:vAlign w:val="center"/>
          </w:tcPr>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法定代表人或委托代理人：</w:t>
            </w:r>
          </w:p>
        </w:tc>
        <w:tc>
          <w:tcPr>
            <w:tcW w:w="4320" w:type="dxa"/>
            <w:vAlign w:val="center"/>
          </w:tcPr>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法定代表人或委托代理人：</w:t>
            </w:r>
          </w:p>
        </w:tc>
      </w:tr>
      <w:tr>
        <w:tblPrEx>
          <w:tblCellMar>
            <w:top w:w="0" w:type="dxa"/>
            <w:left w:w="108" w:type="dxa"/>
            <w:bottom w:w="0" w:type="dxa"/>
            <w:right w:w="108" w:type="dxa"/>
          </w:tblCellMar>
        </w:tblPrEx>
        <w:trPr>
          <w:trHeight w:val="143" w:hRule="atLeast"/>
        </w:trPr>
        <w:tc>
          <w:tcPr>
            <w:tcW w:w="5626" w:type="dxa"/>
            <w:vAlign w:val="center"/>
          </w:tcPr>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日期：       </w:t>
            </w:r>
          </w:p>
        </w:tc>
        <w:tc>
          <w:tcPr>
            <w:tcW w:w="4320" w:type="dxa"/>
            <w:vAlign w:val="center"/>
          </w:tcPr>
          <w:p>
            <w:pPr>
              <w:spacing w:line="62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日期：       </w:t>
            </w:r>
          </w:p>
        </w:tc>
      </w:tr>
    </w:tbl>
    <w:p>
      <w:pPr>
        <w:widowControl/>
        <w:adjustRightInd w:val="0"/>
        <w:snapToGrid w:val="0"/>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widowControl/>
        <w:adjustRightInd w:val="0"/>
        <w:snapToGrid w:val="0"/>
        <w:rPr>
          <w:rFonts w:hint="eastAsia" w:ascii="微软雅黑" w:hAnsi="微软雅黑" w:eastAsia="微软雅黑" w:cs="微软雅黑"/>
          <w:sz w:val="24"/>
          <w:szCs w:val="24"/>
        </w:rPr>
      </w:pPr>
    </w:p>
    <w:sectPr>
      <w:footerReference r:id="rId5" w:type="default"/>
      <w:pgSz w:w="11906" w:h="16838"/>
      <w:pgMar w:top="1871" w:right="851" w:bottom="851"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6236718"/>
    </w:sdtPr>
    <w:sdtContent>
      <w:sdt>
        <w:sdtPr>
          <w:id w:val="-1705238520"/>
        </w:sdtPr>
        <w:sdtContent>
          <w:p>
            <w:pPr>
              <w:pStyle w:val="7"/>
              <w:tabs>
                <w:tab w:val="left" w:pos="1195"/>
                <w:tab w:val="clear" w:pos="4153"/>
                <w:tab w:val="clear" w:pos="8306"/>
              </w:tabs>
              <w:rPr>
                <w:b/>
                <w:bCs/>
                <w:sz w:val="24"/>
                <w:szCs w:val="24"/>
              </w:rPr>
            </w:pPr>
          </w:p>
          <w:p>
            <w:pPr>
              <w:pStyle w:val="7"/>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645459"/>
    </w:sdtPr>
    <w:sdtEndPr>
      <w:rPr>
        <w:b/>
        <w:bCs/>
        <w:color w:val="F1F1F1" w:themeColor="background1" w:themeShade="F2"/>
      </w:rPr>
    </w:sdtEndPr>
    <w:sdtContent>
      <w:sdt>
        <w:sdtPr>
          <w:id w:val="-233550046"/>
        </w:sdtPr>
        <w:sdtEndPr>
          <w:rPr>
            <w:b/>
            <w:bCs/>
            <w:color w:val="F1F1F1" w:themeColor="background1" w:themeShade="F2"/>
          </w:rPr>
        </w:sdtEndPr>
        <w:sdtContent>
          <w:p>
            <w:pPr>
              <w:pStyle w:val="7"/>
              <w:tabs>
                <w:tab w:val="left" w:pos="1195"/>
                <w:tab w:val="clear" w:pos="4153"/>
                <w:tab w:val="clear" w:pos="8306"/>
              </w:tabs>
              <w:jc w:val="center"/>
            </w:pPr>
          </w:p>
          <w:p>
            <w:pPr>
              <w:pStyle w:val="7"/>
              <w:tabs>
                <w:tab w:val="left" w:pos="1195"/>
                <w:tab w:val="clear" w:pos="4153"/>
                <w:tab w:val="clear" w:pos="8306"/>
              </w:tabs>
              <w:jc w:val="center"/>
              <w:rPr>
                <w:b/>
                <w:bCs/>
                <w:color w:val="F1F1F1" w:themeColor="background1" w:themeShade="F2"/>
              </w:rPr>
            </w:pPr>
            <w:r>
              <w:rPr>
                <w:rFonts w:hint="eastAsia" w:ascii="微软雅黑" w:hAnsi="微软雅黑" w:eastAsia="微软雅黑"/>
                <w:b/>
                <w:bCs/>
                <w:color w:val="F1F1F1" w:themeColor="background1" w:themeShade="F2"/>
              </w:rPr>
              <w:t>第</w:t>
            </w:r>
            <w:r>
              <w:rPr>
                <w:b/>
                <w:bCs/>
                <w:color w:val="F1F1F1" w:themeColor="background1" w:themeShade="F2"/>
                <w:lang w:val="zh-CN"/>
              </w:rPr>
              <w:t xml:space="preserve"> </w:t>
            </w:r>
            <w:r>
              <w:rPr>
                <w:b/>
                <w:bCs/>
                <w:color w:val="F1F1F1" w:themeColor="background1" w:themeShade="F2"/>
                <w:sz w:val="24"/>
                <w:szCs w:val="24"/>
              </w:rPr>
              <w:fldChar w:fldCharType="begin"/>
            </w:r>
            <w:r>
              <w:rPr>
                <w:b/>
                <w:bCs/>
                <w:color w:val="F1F1F1" w:themeColor="background1" w:themeShade="F2"/>
              </w:rPr>
              <w:instrText xml:space="preserve">PAGE</w:instrText>
            </w:r>
            <w:r>
              <w:rPr>
                <w:b/>
                <w:bCs/>
                <w:color w:val="F1F1F1" w:themeColor="background1" w:themeShade="F2"/>
                <w:sz w:val="24"/>
                <w:szCs w:val="24"/>
              </w:rPr>
              <w:fldChar w:fldCharType="separate"/>
            </w:r>
            <w:r>
              <w:rPr>
                <w:b/>
                <w:bCs/>
                <w:color w:val="F1F1F1" w:themeColor="background1" w:themeShade="F2"/>
              </w:rPr>
              <w:t>12</w:t>
            </w:r>
            <w:r>
              <w:rPr>
                <w:b/>
                <w:bCs/>
                <w:color w:val="F1F1F1" w:themeColor="background1" w:themeShade="F2"/>
                <w:sz w:val="24"/>
                <w:szCs w:val="24"/>
              </w:rPr>
              <w:fldChar w:fldCharType="end"/>
            </w:r>
            <w:r>
              <w:rPr>
                <w:b/>
                <w:bCs/>
                <w:color w:val="F1F1F1" w:themeColor="background1" w:themeShade="F2"/>
                <w:lang w:val="zh-CN"/>
              </w:rPr>
              <w:t xml:space="preserve"> </w:t>
            </w:r>
            <w:r>
              <w:rPr>
                <w:rFonts w:hint="eastAsia" w:ascii="微软雅黑" w:hAnsi="微软雅黑" w:eastAsia="微软雅黑"/>
                <w:b/>
                <w:bCs/>
                <w:color w:val="F1F1F1" w:themeColor="background1" w:themeShade="F2"/>
                <w:lang w:val="zh-CN"/>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320" w:lineRule="exact"/>
      <w:jc w:val="right"/>
      <w:rPr>
        <w:rFonts w:ascii="黑体" w:eastAsia="黑体"/>
        <w:b/>
        <w:sz w:val="21"/>
        <w:szCs w:val="21"/>
      </w:rPr>
    </w:pPr>
    <w:r>
      <w:rPr>
        <w:sz w:val="21"/>
        <w:szCs w:val="21"/>
      </w:rPr>
      <w:drawing>
        <wp:anchor distT="0" distB="0" distL="114300" distR="114300" simplePos="0" relativeHeight="251659264" behindDoc="1" locked="0" layoutInCell="1" allowOverlap="1">
          <wp:simplePos x="0" y="0"/>
          <wp:positionH relativeFrom="page">
            <wp:posOffset>17145</wp:posOffset>
          </wp:positionH>
          <wp:positionV relativeFrom="paragraph">
            <wp:posOffset>-510540</wp:posOffset>
          </wp:positionV>
          <wp:extent cx="7546975" cy="1069149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extLst>
                      <a:ext uri="{28A0092B-C50C-407E-A947-70E740481C1C}">
                        <a14:useLocalDpi xmlns:a14="http://schemas.microsoft.com/office/drawing/2010/main" val="0"/>
                      </a:ext>
                    </a:extLst>
                  </a:blip>
                  <a:stretch>
                    <a:fillRect/>
                  </a:stretch>
                </pic:blipFill>
                <pic:spPr>
                  <a:xfrm>
                    <a:off x="0" y="0"/>
                    <a:ext cx="7546935" cy="10691492"/>
                  </a:xfrm>
                  <a:prstGeom prst="rect">
                    <a:avLst/>
                  </a:prstGeom>
                </pic:spPr>
              </pic:pic>
            </a:graphicData>
          </a:graphic>
        </wp:anchor>
      </w:drawing>
    </w:r>
  </w:p>
  <w:p>
    <w:pPr>
      <w:pStyle w:val="8"/>
      <w:spacing w:line="320" w:lineRule="exact"/>
      <w:jc w:val="right"/>
      <w:rPr>
        <w:rFonts w:ascii="黑体" w:eastAsia="黑体"/>
        <w:b/>
        <w:sz w:val="21"/>
        <w:szCs w:val="21"/>
      </w:rPr>
    </w:pPr>
  </w:p>
  <w:p>
    <w:pPr>
      <w:pStyle w:val="8"/>
      <w:spacing w:line="320" w:lineRule="exact"/>
      <w:jc w:val="right"/>
      <w:rPr>
        <w:rFonts w:ascii="黑体" w:eastAsia="黑体"/>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073DA"/>
    <w:multiLevelType w:val="singleLevel"/>
    <w:tmpl w:val="B61073DA"/>
    <w:lvl w:ilvl="0" w:tentative="0">
      <w:start w:val="1"/>
      <w:numFmt w:val="chineseCounting"/>
      <w:suff w:val="nothing"/>
      <w:lvlText w:val="%1、"/>
      <w:lvlJc w:val="left"/>
      <w:pPr>
        <w:ind w:left="0" w:firstLine="420"/>
      </w:pPr>
      <w:rPr>
        <w:rFonts w:hint="eastAsia"/>
      </w:rPr>
    </w:lvl>
  </w:abstractNum>
  <w:abstractNum w:abstractNumId="1">
    <w:nsid w:val="0000000A"/>
    <w:multiLevelType w:val="singleLevel"/>
    <w:tmpl w:val="0000000A"/>
    <w:lvl w:ilvl="0" w:tentative="0">
      <w:start w:val="6"/>
      <w:numFmt w:val="decimal"/>
      <w:suff w:val="nothing"/>
      <w:lvlText w:val="%1．"/>
      <w:lvlJc w:val="left"/>
    </w:lvl>
  </w:abstractNum>
  <w:abstractNum w:abstractNumId="2">
    <w:nsid w:val="70D16181"/>
    <w:multiLevelType w:val="singleLevel"/>
    <w:tmpl w:val="70D16181"/>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M2NTc5MzE1NWVmYWJlYjY4M2ZlNzMxZGE0ZDBhNGYifQ=="/>
  </w:docVars>
  <w:rsids>
    <w:rsidRoot w:val="00972A64"/>
    <w:rsid w:val="00012C00"/>
    <w:rsid w:val="00040953"/>
    <w:rsid w:val="00067B06"/>
    <w:rsid w:val="00075357"/>
    <w:rsid w:val="000A1D22"/>
    <w:rsid w:val="000A4B98"/>
    <w:rsid w:val="000A65C8"/>
    <w:rsid w:val="000E472C"/>
    <w:rsid w:val="000F30DB"/>
    <w:rsid w:val="001317FC"/>
    <w:rsid w:val="0013435D"/>
    <w:rsid w:val="00137EBE"/>
    <w:rsid w:val="001428C0"/>
    <w:rsid w:val="001501C7"/>
    <w:rsid w:val="00164ACB"/>
    <w:rsid w:val="00170DF8"/>
    <w:rsid w:val="0019066F"/>
    <w:rsid w:val="001B54FB"/>
    <w:rsid w:val="001D6ED6"/>
    <w:rsid w:val="001D7497"/>
    <w:rsid w:val="00257F67"/>
    <w:rsid w:val="00274C65"/>
    <w:rsid w:val="002B7625"/>
    <w:rsid w:val="002D163B"/>
    <w:rsid w:val="002D43BC"/>
    <w:rsid w:val="002F1D3E"/>
    <w:rsid w:val="00335C15"/>
    <w:rsid w:val="00390793"/>
    <w:rsid w:val="003A1A67"/>
    <w:rsid w:val="003A3767"/>
    <w:rsid w:val="003A7683"/>
    <w:rsid w:val="004214BA"/>
    <w:rsid w:val="004438BE"/>
    <w:rsid w:val="00466B65"/>
    <w:rsid w:val="004D2172"/>
    <w:rsid w:val="00545635"/>
    <w:rsid w:val="00574268"/>
    <w:rsid w:val="005D4D40"/>
    <w:rsid w:val="005F71CE"/>
    <w:rsid w:val="00601417"/>
    <w:rsid w:val="006374B9"/>
    <w:rsid w:val="006417EB"/>
    <w:rsid w:val="00653D2E"/>
    <w:rsid w:val="00654BCF"/>
    <w:rsid w:val="00680187"/>
    <w:rsid w:val="006B2409"/>
    <w:rsid w:val="006B2A35"/>
    <w:rsid w:val="006D7235"/>
    <w:rsid w:val="006F32C9"/>
    <w:rsid w:val="006F7C22"/>
    <w:rsid w:val="00706B48"/>
    <w:rsid w:val="00713576"/>
    <w:rsid w:val="007271FC"/>
    <w:rsid w:val="00761805"/>
    <w:rsid w:val="00783A6A"/>
    <w:rsid w:val="0078513C"/>
    <w:rsid w:val="008C0BB5"/>
    <w:rsid w:val="008D0CB8"/>
    <w:rsid w:val="008E3111"/>
    <w:rsid w:val="0092128E"/>
    <w:rsid w:val="00936550"/>
    <w:rsid w:val="0095415B"/>
    <w:rsid w:val="00957125"/>
    <w:rsid w:val="00963851"/>
    <w:rsid w:val="00972A64"/>
    <w:rsid w:val="009F4DEB"/>
    <w:rsid w:val="009F674B"/>
    <w:rsid w:val="00A31019"/>
    <w:rsid w:val="00A37FA5"/>
    <w:rsid w:val="00A56ED9"/>
    <w:rsid w:val="00A74E4A"/>
    <w:rsid w:val="00A95576"/>
    <w:rsid w:val="00AE649D"/>
    <w:rsid w:val="00B3529F"/>
    <w:rsid w:val="00B575E2"/>
    <w:rsid w:val="00BA7DA5"/>
    <w:rsid w:val="00BF6DE2"/>
    <w:rsid w:val="00C02FE7"/>
    <w:rsid w:val="00C1714F"/>
    <w:rsid w:val="00C306E1"/>
    <w:rsid w:val="00C36196"/>
    <w:rsid w:val="00C414C0"/>
    <w:rsid w:val="00C50B27"/>
    <w:rsid w:val="00CB348B"/>
    <w:rsid w:val="00CB60AA"/>
    <w:rsid w:val="00CB7B41"/>
    <w:rsid w:val="00D103C3"/>
    <w:rsid w:val="00D42586"/>
    <w:rsid w:val="00D474AE"/>
    <w:rsid w:val="00D627CD"/>
    <w:rsid w:val="00D955D3"/>
    <w:rsid w:val="00D95EA9"/>
    <w:rsid w:val="00D96A73"/>
    <w:rsid w:val="00DA0122"/>
    <w:rsid w:val="00DB3FC8"/>
    <w:rsid w:val="00DD3201"/>
    <w:rsid w:val="00E13349"/>
    <w:rsid w:val="00E47F88"/>
    <w:rsid w:val="00E57BDD"/>
    <w:rsid w:val="00E72B3E"/>
    <w:rsid w:val="00E93F98"/>
    <w:rsid w:val="00EF0A6D"/>
    <w:rsid w:val="00EF77D2"/>
    <w:rsid w:val="00F260A8"/>
    <w:rsid w:val="00F328CD"/>
    <w:rsid w:val="00F41B51"/>
    <w:rsid w:val="00F44118"/>
    <w:rsid w:val="00F549BD"/>
    <w:rsid w:val="00F60E74"/>
    <w:rsid w:val="00F87FD8"/>
    <w:rsid w:val="00F91ED0"/>
    <w:rsid w:val="00F930F8"/>
    <w:rsid w:val="00F94FF0"/>
    <w:rsid w:val="00FA68C4"/>
    <w:rsid w:val="00FE0940"/>
    <w:rsid w:val="00FE77BB"/>
    <w:rsid w:val="02526797"/>
    <w:rsid w:val="03AA7B5F"/>
    <w:rsid w:val="03F569C0"/>
    <w:rsid w:val="043861F7"/>
    <w:rsid w:val="04AF4B6F"/>
    <w:rsid w:val="05742414"/>
    <w:rsid w:val="05A21471"/>
    <w:rsid w:val="05C344F5"/>
    <w:rsid w:val="06A81C4F"/>
    <w:rsid w:val="06FB7E6A"/>
    <w:rsid w:val="07DC73BB"/>
    <w:rsid w:val="07EA205E"/>
    <w:rsid w:val="08362309"/>
    <w:rsid w:val="08AB7BEE"/>
    <w:rsid w:val="09BE7482"/>
    <w:rsid w:val="0C8C0749"/>
    <w:rsid w:val="0D702177"/>
    <w:rsid w:val="0DE1144D"/>
    <w:rsid w:val="0E9A4A19"/>
    <w:rsid w:val="0ED20405"/>
    <w:rsid w:val="10A50CAE"/>
    <w:rsid w:val="11A41C41"/>
    <w:rsid w:val="11B00A36"/>
    <w:rsid w:val="11BA7B07"/>
    <w:rsid w:val="11E115A4"/>
    <w:rsid w:val="12B207DE"/>
    <w:rsid w:val="133E4BC9"/>
    <w:rsid w:val="151E0B36"/>
    <w:rsid w:val="15836462"/>
    <w:rsid w:val="17F4705F"/>
    <w:rsid w:val="18522621"/>
    <w:rsid w:val="1A5D54D3"/>
    <w:rsid w:val="1AD76066"/>
    <w:rsid w:val="1B4221D2"/>
    <w:rsid w:val="1BAA1283"/>
    <w:rsid w:val="1C2E5379"/>
    <w:rsid w:val="1D0A3BBC"/>
    <w:rsid w:val="1E3E3F57"/>
    <w:rsid w:val="1FA56E2F"/>
    <w:rsid w:val="1FB13636"/>
    <w:rsid w:val="2021138E"/>
    <w:rsid w:val="21132D8F"/>
    <w:rsid w:val="213A2AEF"/>
    <w:rsid w:val="214D5DE0"/>
    <w:rsid w:val="217C4470"/>
    <w:rsid w:val="21B91703"/>
    <w:rsid w:val="23A75A11"/>
    <w:rsid w:val="25227BD0"/>
    <w:rsid w:val="25D10556"/>
    <w:rsid w:val="27B34EC2"/>
    <w:rsid w:val="28C23A9B"/>
    <w:rsid w:val="2A4E733E"/>
    <w:rsid w:val="2A8249EA"/>
    <w:rsid w:val="2AE7630B"/>
    <w:rsid w:val="2CAB02B0"/>
    <w:rsid w:val="2D556BC0"/>
    <w:rsid w:val="2E0B6849"/>
    <w:rsid w:val="2E7F1A64"/>
    <w:rsid w:val="2EBC0280"/>
    <w:rsid w:val="2FE834D6"/>
    <w:rsid w:val="30065366"/>
    <w:rsid w:val="353251AA"/>
    <w:rsid w:val="35DC6B52"/>
    <w:rsid w:val="36820344"/>
    <w:rsid w:val="37297466"/>
    <w:rsid w:val="39A8626A"/>
    <w:rsid w:val="3A267753"/>
    <w:rsid w:val="3A3279F4"/>
    <w:rsid w:val="3A4D4307"/>
    <w:rsid w:val="3A6B5F4D"/>
    <w:rsid w:val="3C65656B"/>
    <w:rsid w:val="3CD0561B"/>
    <w:rsid w:val="3D7777C0"/>
    <w:rsid w:val="3E8409D1"/>
    <w:rsid w:val="3EC66625"/>
    <w:rsid w:val="3F6525B0"/>
    <w:rsid w:val="40BA73DD"/>
    <w:rsid w:val="41E97D0F"/>
    <w:rsid w:val="427A29C1"/>
    <w:rsid w:val="43B15192"/>
    <w:rsid w:val="43D11130"/>
    <w:rsid w:val="43D41B8C"/>
    <w:rsid w:val="447714D3"/>
    <w:rsid w:val="44A11304"/>
    <w:rsid w:val="44E63D90"/>
    <w:rsid w:val="465C0056"/>
    <w:rsid w:val="46695F22"/>
    <w:rsid w:val="47A47FB5"/>
    <w:rsid w:val="494E5D41"/>
    <w:rsid w:val="4A9F2597"/>
    <w:rsid w:val="4B5160DF"/>
    <w:rsid w:val="4CAE6627"/>
    <w:rsid w:val="4E6E302A"/>
    <w:rsid w:val="4EB11BA3"/>
    <w:rsid w:val="51856AE2"/>
    <w:rsid w:val="52001CB8"/>
    <w:rsid w:val="5253474E"/>
    <w:rsid w:val="5322283B"/>
    <w:rsid w:val="536D31F4"/>
    <w:rsid w:val="54650CA2"/>
    <w:rsid w:val="54684850"/>
    <w:rsid w:val="54ED0A13"/>
    <w:rsid w:val="551E3BF4"/>
    <w:rsid w:val="55571B27"/>
    <w:rsid w:val="5617207F"/>
    <w:rsid w:val="566E303C"/>
    <w:rsid w:val="58A40555"/>
    <w:rsid w:val="596103A7"/>
    <w:rsid w:val="5A767AAC"/>
    <w:rsid w:val="5B601D6D"/>
    <w:rsid w:val="5CB34943"/>
    <w:rsid w:val="5D2B1DF4"/>
    <w:rsid w:val="5D8001A4"/>
    <w:rsid w:val="5F7C7776"/>
    <w:rsid w:val="6118674B"/>
    <w:rsid w:val="615C7504"/>
    <w:rsid w:val="6209713B"/>
    <w:rsid w:val="62307F65"/>
    <w:rsid w:val="628D2D63"/>
    <w:rsid w:val="62CF6620"/>
    <w:rsid w:val="640137F3"/>
    <w:rsid w:val="67DF67EA"/>
    <w:rsid w:val="6931512E"/>
    <w:rsid w:val="694A3A05"/>
    <w:rsid w:val="6B7C09A8"/>
    <w:rsid w:val="6BDE0D31"/>
    <w:rsid w:val="6D2550ED"/>
    <w:rsid w:val="6D7B79BF"/>
    <w:rsid w:val="6E297DA4"/>
    <w:rsid w:val="6F3C2A7E"/>
    <w:rsid w:val="6FC04D64"/>
    <w:rsid w:val="701A2DBF"/>
    <w:rsid w:val="70251764"/>
    <w:rsid w:val="72761F5B"/>
    <w:rsid w:val="73D019E7"/>
    <w:rsid w:val="74F65C97"/>
    <w:rsid w:val="769917C4"/>
    <w:rsid w:val="770438E8"/>
    <w:rsid w:val="797775C4"/>
    <w:rsid w:val="7A187C44"/>
    <w:rsid w:val="7ACD4116"/>
    <w:rsid w:val="7AD157A8"/>
    <w:rsid w:val="7AFF2B90"/>
    <w:rsid w:val="7B323623"/>
    <w:rsid w:val="7B50001A"/>
    <w:rsid w:val="7B62487C"/>
    <w:rsid w:val="7DF7383C"/>
    <w:rsid w:val="7E1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keepNext/>
      <w:keepLines/>
      <w:widowControl/>
      <w:adjustRightInd w:val="0"/>
      <w:snapToGrid w:val="0"/>
      <w:spacing w:before="340" w:after="330" w:line="578" w:lineRule="auto"/>
      <w:jc w:val="left"/>
      <w:outlineLvl w:val="0"/>
    </w:pPr>
    <w:rPr>
      <w:rFonts w:ascii="Tahoma" w:hAnsi="Tahoma"/>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spacing w:after="120"/>
    </w:pPr>
  </w:style>
  <w:style w:type="paragraph" w:styleId="4">
    <w:name w:val="Subtitle"/>
    <w:basedOn w:val="1"/>
    <w:next w:val="1"/>
    <w:autoRedefine/>
    <w:qFormat/>
    <w:uiPriority w:val="0"/>
    <w:pPr>
      <w:wordWrap w:val="0"/>
      <w:spacing w:after="60"/>
      <w:jc w:val="center"/>
    </w:pPr>
    <w:rPr>
      <w:sz w:val="24"/>
    </w:rPr>
  </w:style>
  <w:style w:type="paragraph" w:styleId="5">
    <w:name w:val="Body Text Indent"/>
    <w:basedOn w:val="1"/>
    <w:autoRedefine/>
    <w:qFormat/>
    <w:uiPriority w:val="0"/>
    <w:pPr>
      <w:spacing w:line="360" w:lineRule="auto"/>
      <w:ind w:left="359" w:leftChars="171"/>
    </w:pPr>
    <w:rPr>
      <w:rFonts w:ascii="宋体"/>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autoRedefine/>
    <w:semiHidden/>
    <w:unhideWhenUsed/>
    <w:qFormat/>
    <w:uiPriority w:val="99"/>
    <w:rPr>
      <w:color w:val="CC6600"/>
      <w:u w:val="none"/>
    </w:rPr>
  </w:style>
  <w:style w:type="character" w:styleId="13">
    <w:name w:val="Hyperlink"/>
    <w:basedOn w:val="11"/>
    <w:autoRedefine/>
    <w:semiHidden/>
    <w:unhideWhenUsed/>
    <w:qFormat/>
    <w:uiPriority w:val="99"/>
    <w:rPr>
      <w:color w:val="CC6600"/>
      <w:u w:val="none"/>
    </w:rPr>
  </w:style>
  <w:style w:type="paragraph" w:customStyle="1" w:styleId="14">
    <w:name w:val="Default"/>
    <w:autoRedefine/>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character" w:customStyle="1" w:styleId="15">
    <w:name w:val="页眉 Char"/>
    <w:basedOn w:val="11"/>
    <w:link w:val="8"/>
    <w:autoRedefine/>
    <w:qFormat/>
    <w:uiPriority w:val="99"/>
    <w:rPr>
      <w:sz w:val="18"/>
      <w:szCs w:val="18"/>
    </w:rPr>
  </w:style>
  <w:style w:type="character" w:customStyle="1" w:styleId="16">
    <w:name w:val="页脚 Char1"/>
    <w:basedOn w:val="11"/>
    <w:link w:val="7"/>
    <w:autoRedefine/>
    <w:qFormat/>
    <w:uiPriority w:val="99"/>
    <w:rPr>
      <w:sz w:val="18"/>
      <w:szCs w:val="18"/>
    </w:rPr>
  </w:style>
  <w:style w:type="character" w:customStyle="1" w:styleId="17">
    <w:name w:val="页脚 Char"/>
    <w:autoRedefine/>
    <w:qFormat/>
    <w:uiPriority w:val="99"/>
    <w:rPr>
      <w:sz w:val="18"/>
      <w:szCs w:val="18"/>
    </w:rPr>
  </w:style>
  <w:style w:type="character" w:customStyle="1" w:styleId="18">
    <w:name w:val="标题 1 Char"/>
    <w:basedOn w:val="11"/>
    <w:link w:val="2"/>
    <w:autoRedefine/>
    <w:qFormat/>
    <w:uiPriority w:val="9"/>
    <w:rPr>
      <w:rFonts w:ascii="Tahoma" w:hAnsi="Tahoma" w:eastAsia="宋体" w:cs="Times New Roman"/>
      <w:b/>
      <w:bCs/>
      <w:kern w:val="44"/>
      <w:sz w:val="44"/>
      <w:szCs w:val="44"/>
    </w:rPr>
  </w:style>
  <w:style w:type="paragraph" w:styleId="19">
    <w:name w:val="List Paragraph"/>
    <w:basedOn w:val="1"/>
    <w:autoRedefine/>
    <w:qFormat/>
    <w:uiPriority w:val="34"/>
    <w:pPr>
      <w:ind w:firstLine="420" w:firstLineChars="200"/>
    </w:pPr>
  </w:style>
  <w:style w:type="character" w:customStyle="1" w:styleId="20">
    <w:name w:val="批注框文本 Char"/>
    <w:basedOn w:val="11"/>
    <w:link w:val="6"/>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2025</Words>
  <Characters>11549</Characters>
  <Lines>96</Lines>
  <Paragraphs>27</Paragraphs>
  <TotalTime>1</TotalTime>
  <ScaleCrop>false</ScaleCrop>
  <LinksUpToDate>false</LinksUpToDate>
  <CharactersWithSpaces>13547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2022-04-24T08:22:00Z</dcterms:created>
  <dc:creator>Administrator</dc:creator>
  <cp:lastModifiedBy>兵哥哥高兴</cp:lastModifiedBy>
  <dcterms:modified xsi:type="dcterms:W3CDTF">2024-01-02T02:59:32Z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6AFA368FF3E24DA4B80288F1A4BC047A</vt:lpwstr>
  </property>
</Properties>
</file>